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val="0"/>
        <w:snapToGrid/>
        <w:spacing w:before="0" w:after="0" w:line="720" w:lineRule="exact"/>
        <w:jc w:val="center"/>
        <w:textAlignment w:val="auto"/>
        <w:rPr>
          <w:rFonts w:hint="eastAsia" w:ascii="方正小标宋简体" w:hAnsi="方正小标宋简体" w:eastAsia="方正小标宋简体" w:cs="方正小标宋简体"/>
          <w:b w:val="0"/>
          <w:bCs w:val="0"/>
          <w:color w:val="auto"/>
          <w:sz w:val="44"/>
          <w:szCs w:val="44"/>
        </w:rPr>
      </w:pPr>
    </w:p>
    <w:p>
      <w:pPr>
        <w:pStyle w:val="11"/>
        <w:keepNext w:val="0"/>
        <w:keepLines w:val="0"/>
        <w:pageBreakBefore w:val="0"/>
        <w:widowControl w:val="0"/>
        <w:kinsoku/>
        <w:wordWrap/>
        <w:overflowPunct/>
        <w:topLinePunct w:val="0"/>
        <w:autoSpaceDE/>
        <w:autoSpaceDN/>
        <w:bidi w:val="0"/>
        <w:adjustRightInd w:val="0"/>
        <w:snapToGrid/>
        <w:spacing w:before="0" w:after="0" w:line="72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养老服务消费补贴项目信息系统操作手册</w:t>
      </w:r>
      <w:r>
        <w:rPr>
          <w:rFonts w:hint="eastAsia" w:ascii="方正小标宋简体" w:hAnsi="方正小标宋简体" w:eastAsia="方正小标宋简体" w:cs="方正小标宋简体"/>
          <w:b w:val="0"/>
          <w:bCs w:val="0"/>
          <w:color w:val="auto"/>
          <w:sz w:val="44"/>
          <w:szCs w:val="44"/>
          <w:lang w:val="en-US" w:eastAsia="zh-CN"/>
        </w:rPr>
        <w:t>-评估机构</w:t>
      </w:r>
      <w:r>
        <w:rPr>
          <w:rFonts w:hint="eastAsia" w:ascii="方正小标宋简体" w:hAnsi="方正小标宋简体" w:eastAsia="方正小标宋简体" w:cs="方正小标宋简体"/>
          <w:b w:val="0"/>
          <w:bCs w:val="0"/>
          <w:color w:val="auto"/>
          <w:sz w:val="44"/>
          <w:szCs w:val="44"/>
        </w:rPr>
        <w:t>端</w:t>
      </w:r>
    </w:p>
    <w:p>
      <w:pPr>
        <w:pStyle w:val="11"/>
        <w:keepNext w:val="0"/>
        <w:keepLines w:val="0"/>
        <w:pageBreakBefore w:val="0"/>
        <w:widowControl w:val="0"/>
        <w:kinsoku/>
        <w:wordWrap/>
        <w:overflowPunct/>
        <w:topLinePunct w:val="0"/>
        <w:autoSpaceDE/>
        <w:autoSpaceDN/>
        <w:bidi w:val="0"/>
        <w:adjustRightInd w:val="0"/>
        <w:snapToGrid/>
        <w:spacing w:before="0" w:after="0" w:line="72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rPr>
      </w:pPr>
      <w:bookmarkStart w:id="22" w:name="_GoBack"/>
      <w:bookmarkEnd w:id="22"/>
    </w:p>
    <w:sdt>
      <w:sdtPr>
        <w:rPr>
          <w:rFonts w:hint="eastAsia" w:ascii="黑体" w:hAnsi="黑体" w:eastAsia="黑体" w:cs="黑体"/>
          <w:kern w:val="2"/>
          <w:sz w:val="40"/>
          <w:szCs w:val="48"/>
          <w:lang w:val="en-US" w:eastAsia="zh-CN" w:bidi="ar-SA"/>
        </w:rPr>
        <w:id w:val="587377065"/>
        <w15:color w:val="DBDBDB"/>
        <w:docPartObj>
          <w:docPartGallery w:val="Table of Contents"/>
          <w:docPartUnique/>
        </w:docPartObj>
      </w:sdtPr>
      <w:sdtEndPr>
        <w:rPr>
          <w:rFonts w:hint="eastAsia" w:ascii="楷体_GB2312" w:hAnsi="楷体_GB2312" w:eastAsia="楷体_GB2312" w:cs="楷体_GB2312"/>
          <w:color w:val="auto"/>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52"/>
              <w:szCs w:val="48"/>
            </w:rPr>
          </w:pPr>
          <w:r>
            <w:rPr>
              <w:rFonts w:hint="eastAsia" w:ascii="黑体" w:hAnsi="黑体" w:eastAsia="黑体" w:cs="黑体"/>
              <w:sz w:val="40"/>
              <w:szCs w:val="48"/>
            </w:rPr>
            <w:t>目录</w:t>
          </w:r>
        </w:p>
        <w:p>
          <w:pPr>
            <w:pStyle w:val="12"/>
            <w:tabs>
              <w:tab w:val="right" w:leader="dot" w:pos="8306"/>
            </w:tabs>
            <w:jc w:val="center"/>
          </w:pPr>
          <w:r>
            <w:rPr>
              <w:rFonts w:hint="eastAsia" w:ascii="楷体_GB2312" w:hAnsi="楷体_GB2312" w:eastAsia="楷体_GB2312" w:cs="楷体_GB2312"/>
              <w:color w:val="auto"/>
              <w:sz w:val="32"/>
              <w:szCs w:val="32"/>
              <w:lang w:val="en-US" w:eastAsia="zh-CN"/>
            </w:rPr>
            <w:fldChar w:fldCharType="begin"/>
          </w:r>
          <w:r>
            <w:rPr>
              <w:rFonts w:hint="eastAsia" w:ascii="楷体_GB2312" w:hAnsi="楷体_GB2312" w:eastAsia="楷体_GB2312" w:cs="楷体_GB2312"/>
              <w:color w:val="auto"/>
              <w:sz w:val="32"/>
              <w:szCs w:val="32"/>
              <w:lang w:val="en-US" w:eastAsia="zh-CN"/>
            </w:rPr>
            <w:instrText xml:space="preserve">TOC \o "1-3" \h \u </w:instrText>
          </w:r>
          <w:r>
            <w:rPr>
              <w:rFonts w:hint="eastAsia" w:ascii="楷体_GB2312" w:hAnsi="楷体_GB2312" w:eastAsia="楷体_GB2312" w:cs="楷体_GB2312"/>
              <w:color w:val="auto"/>
              <w:sz w:val="32"/>
              <w:szCs w:val="32"/>
              <w:lang w:val="en-US" w:eastAsia="zh-CN"/>
            </w:rPr>
            <w:fldChar w:fldCharType="separate"/>
          </w:r>
        </w:p>
        <w:p>
          <w:pPr>
            <w:pStyle w:val="16"/>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0" w:firstLineChars="0"/>
            <w:jc w:val="both"/>
            <w:textAlignment w:val="auto"/>
            <w:rPr>
              <w:shd w:val="clear" w:color="auto" w:fill="auto"/>
            </w:rPr>
          </w:pPr>
          <w:r>
            <w:rPr>
              <w:rFonts w:hint="eastAsia" w:ascii="楷体_GB2312" w:hAnsi="楷体_GB2312" w:eastAsia="楷体_GB2312" w:cs="楷体_GB2312"/>
              <w:color w:val="auto"/>
              <w:szCs w:val="32"/>
              <w:shd w:val="clear" w:color="auto" w:fill="auto"/>
              <w:lang w:val="en-US" w:eastAsia="zh-CN"/>
            </w:rPr>
            <w:fldChar w:fldCharType="begin"/>
          </w:r>
          <w:r>
            <w:rPr>
              <w:rFonts w:hint="eastAsia" w:ascii="楷体_GB2312" w:hAnsi="楷体_GB2312" w:eastAsia="楷体_GB2312" w:cs="楷体_GB2312"/>
              <w:szCs w:val="32"/>
              <w:shd w:val="clear" w:color="auto" w:fill="auto"/>
              <w:lang w:val="en-US" w:eastAsia="zh-CN"/>
            </w:rPr>
            <w:instrText xml:space="preserve"> HYPERLINK \l _Toc841397142 </w:instrText>
          </w:r>
          <w:r>
            <w:rPr>
              <w:rFonts w:hint="eastAsia" w:ascii="楷体_GB2312" w:hAnsi="楷体_GB2312" w:eastAsia="楷体_GB2312" w:cs="楷体_GB2312"/>
              <w:szCs w:val="32"/>
              <w:shd w:val="clear" w:color="auto" w:fill="auto"/>
              <w:lang w:val="en-US" w:eastAsia="zh-CN"/>
            </w:rPr>
            <w:fldChar w:fldCharType="separate"/>
          </w:r>
          <w:r>
            <w:rPr>
              <w:rFonts w:hint="eastAsia" w:ascii="黑体" w:hAnsi="黑体" w:eastAsia="黑体" w:cs="黑体"/>
              <w:szCs w:val="32"/>
              <w:shd w:val="clear" w:color="auto" w:fill="auto"/>
              <w:lang w:val="en-US" w:eastAsia="zh-CN"/>
            </w:rPr>
            <w:t>一、区民政部门创建和管理第三方评估账号</w:t>
          </w:r>
          <w:r>
            <w:rPr>
              <w:shd w:val="clear" w:color="auto" w:fill="auto"/>
            </w:rPr>
            <w:tab/>
          </w:r>
          <w:r>
            <w:rPr>
              <w:shd w:val="clear" w:color="auto" w:fill="auto"/>
            </w:rPr>
            <w:fldChar w:fldCharType="begin"/>
          </w:r>
          <w:r>
            <w:rPr>
              <w:shd w:val="clear" w:color="auto" w:fill="auto"/>
            </w:rPr>
            <w:instrText xml:space="preserve"> PAGEREF _Toc841397142 \h </w:instrText>
          </w:r>
          <w:r>
            <w:rPr>
              <w:shd w:val="clear" w:color="auto" w:fill="auto"/>
            </w:rPr>
            <w:fldChar w:fldCharType="separate"/>
          </w:r>
          <w:r>
            <w:rPr>
              <w:shd w:val="clear" w:color="auto" w:fill="auto"/>
            </w:rPr>
            <w:t>2</w:t>
          </w:r>
          <w:r>
            <w:rPr>
              <w:shd w:val="clear" w:color="auto" w:fill="auto"/>
            </w:rPr>
            <w:fldChar w:fldCharType="end"/>
          </w:r>
          <w:r>
            <w:rPr>
              <w:rFonts w:hint="eastAsia" w:ascii="楷体_GB2312" w:hAnsi="楷体_GB2312" w:eastAsia="楷体_GB2312" w:cs="楷体_GB2312"/>
              <w:color w:val="auto"/>
              <w:szCs w:val="32"/>
              <w:shd w:val="clear" w:color="auto" w:fill="auto"/>
              <w:lang w:val="en-US" w:eastAsia="zh-CN"/>
            </w:rPr>
            <w:fldChar w:fldCharType="end"/>
          </w:r>
        </w:p>
        <w:p>
          <w:pPr>
            <w:pStyle w:val="16"/>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0" w:firstLineChars="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_Toc1880862541 </w:instrText>
          </w:r>
          <w:r>
            <w:rPr>
              <w:rFonts w:hint="eastAsia" w:ascii="楷体_GB2312" w:hAnsi="楷体_GB2312" w:eastAsia="楷体_GB2312" w:cs="楷体_GB2312"/>
              <w:szCs w:val="32"/>
              <w:lang w:val="en-US" w:eastAsia="zh-CN"/>
            </w:rPr>
            <w:fldChar w:fldCharType="separate"/>
          </w:r>
          <w:r>
            <w:rPr>
              <w:rFonts w:hint="eastAsia" w:ascii="黑体" w:hAnsi="黑体" w:eastAsia="黑体" w:cs="黑体"/>
              <w:bCs w:val="0"/>
              <w:szCs w:val="32"/>
              <w:lang w:val="en-US" w:eastAsia="zh-CN"/>
            </w:rPr>
            <w:t>二、评估机构操作流程</w:t>
          </w:r>
          <w:r>
            <w:tab/>
          </w:r>
          <w:r>
            <w:fldChar w:fldCharType="begin"/>
          </w:r>
          <w:r>
            <w:instrText xml:space="preserve"> PAGEREF _Toc1880862541 \h </w:instrText>
          </w:r>
          <w:r>
            <w:fldChar w:fldCharType="separate"/>
          </w:r>
          <w:r>
            <w:t>5</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_Toc1793827275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szCs w:val="32"/>
              <w:lang w:val="en-US" w:eastAsia="zh-CN"/>
            </w:rPr>
            <w:t>1.机构备案/信息登记</w:t>
          </w:r>
          <w:r>
            <w:tab/>
          </w:r>
          <w:r>
            <w:fldChar w:fldCharType="begin"/>
          </w:r>
          <w:r>
            <w:instrText xml:space="preserve"> PAGEREF _Toc1793827275 \h </w:instrText>
          </w:r>
          <w:r>
            <w:fldChar w:fldCharType="separate"/>
          </w:r>
          <w:r>
            <w:t>5</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_Toc1376650013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szCs w:val="32"/>
              <w:lang w:val="en-US" w:eastAsia="zh-CN"/>
            </w:rPr>
            <w:t>2.信息发布</w:t>
          </w:r>
          <w:r>
            <w:tab/>
          </w:r>
          <w:r>
            <w:fldChar w:fldCharType="begin"/>
          </w:r>
          <w:r>
            <w:instrText xml:space="preserve"> PAGEREF _Toc1376650013 \h </w:instrText>
          </w:r>
          <w:r>
            <w:fldChar w:fldCharType="separate"/>
          </w:r>
          <w:r>
            <w:t>6</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_Toc1853902406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3.</w:t>
          </w:r>
          <w:r>
            <w:rPr>
              <w:rFonts w:hint="default" w:ascii="仿宋_GB2312" w:hAnsi="仿宋_GB2312" w:eastAsia="仿宋_GB2312" w:cs="仿宋_GB2312"/>
              <w:bCs/>
              <w:kern w:val="2"/>
              <w:szCs w:val="32"/>
              <w:lang w:val="en-US" w:eastAsia="zh-CN" w:bidi="ar-SA"/>
            </w:rPr>
            <w:t>补贴资格认定</w:t>
          </w:r>
          <w:r>
            <w:tab/>
          </w:r>
          <w:r>
            <w:fldChar w:fldCharType="begin"/>
          </w:r>
          <w:r>
            <w:instrText xml:space="preserve"> PAGEREF _Toc1853902406 \h </w:instrText>
          </w:r>
          <w:r>
            <w:fldChar w:fldCharType="separate"/>
          </w:r>
          <w:r>
            <w:t>7</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_Toc2009622862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4.</w:t>
          </w:r>
          <w:r>
            <w:rPr>
              <w:rFonts w:hint="default" w:ascii="仿宋_GB2312" w:hAnsi="仿宋_GB2312" w:eastAsia="仿宋_GB2312" w:cs="仿宋_GB2312"/>
              <w:bCs/>
              <w:kern w:val="2"/>
              <w:szCs w:val="32"/>
              <w:lang w:val="en-US" w:eastAsia="zh-CN" w:bidi="ar-SA"/>
            </w:rPr>
            <w:t>申请接入支付平台</w:t>
          </w:r>
          <w:r>
            <w:tab/>
          </w:r>
          <w:r>
            <w:fldChar w:fldCharType="begin"/>
          </w:r>
          <w:r>
            <w:instrText xml:space="preserve"> PAGEREF _Toc2009622862 \h </w:instrText>
          </w:r>
          <w:r>
            <w:fldChar w:fldCharType="separate"/>
          </w:r>
          <w:r>
            <w:t>8</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1120" w:firstLineChars="4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_Toc768883818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（1）微信</w:t>
          </w:r>
          <w:r>
            <w:tab/>
          </w:r>
          <w:r>
            <w:fldChar w:fldCharType="begin"/>
          </w:r>
          <w:r>
            <w:instrText xml:space="preserve"> PAGEREF _Toc768883818 \h </w:instrText>
          </w:r>
          <w:r>
            <w:fldChar w:fldCharType="separate"/>
          </w:r>
          <w:r>
            <w:t>9</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1120" w:firstLineChars="4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_Toc370484969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（2）支付宝</w:t>
          </w:r>
          <w:r>
            <w:tab/>
          </w:r>
          <w:r>
            <w:fldChar w:fldCharType="begin"/>
          </w:r>
          <w:r>
            <w:instrText xml:space="preserve"> PAGEREF _Toc370484969 \h </w:instrText>
          </w:r>
          <w:r>
            <w:fldChar w:fldCharType="separate"/>
          </w:r>
          <w:r>
            <w:t>9</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1120" w:firstLineChars="4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_Toc623065759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（3）云闪付</w:t>
          </w:r>
          <w:r>
            <w:tab/>
          </w:r>
          <w:r>
            <w:fldChar w:fldCharType="begin"/>
          </w:r>
          <w:r>
            <w:instrText xml:space="preserve"> PAGEREF _Toc623065759 \h </w:instrText>
          </w:r>
          <w:r>
            <w:fldChar w:fldCharType="separate"/>
          </w:r>
          <w:r>
            <w:t>9</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_Toc243983812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szCs w:val="32"/>
              <w:lang w:val="en-US" w:eastAsia="zh-CN"/>
            </w:rPr>
            <w:t>5.配置员工账号及权限</w:t>
          </w:r>
          <w:r>
            <w:tab/>
          </w:r>
          <w:r>
            <w:fldChar w:fldCharType="begin"/>
          </w:r>
          <w:r>
            <w:instrText xml:space="preserve"> PAGEREF _Toc243983812 \h </w:instrText>
          </w:r>
          <w:r>
            <w:fldChar w:fldCharType="separate"/>
          </w:r>
          <w:r>
            <w:t>9</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1120" w:firstLineChars="4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_Toc1289892337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szCs w:val="32"/>
              <w:lang w:val="en-US" w:eastAsia="zh-CN"/>
            </w:rPr>
            <w:t xml:space="preserve">5.1 </w:t>
          </w:r>
          <w:r>
            <w:rPr>
              <w:rFonts w:hint="eastAsia" w:ascii="仿宋_GB2312" w:hAnsi="仿宋_GB2312" w:eastAsia="仿宋_GB2312" w:cs="仿宋_GB2312"/>
              <w:bCs/>
              <w:szCs w:val="32"/>
            </w:rPr>
            <w:t>新增员工</w:t>
          </w:r>
          <w:r>
            <w:tab/>
          </w:r>
          <w:r>
            <w:fldChar w:fldCharType="begin"/>
          </w:r>
          <w:r>
            <w:instrText xml:space="preserve"> PAGEREF _Toc1289892337 \h </w:instrText>
          </w:r>
          <w:r>
            <w:fldChar w:fldCharType="separate"/>
          </w:r>
          <w:r>
            <w:t>9</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1120" w:firstLineChars="4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_Toc1890288530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5.2 分配权限</w:t>
          </w:r>
          <w:r>
            <w:tab/>
          </w:r>
          <w:r>
            <w:fldChar w:fldCharType="begin"/>
          </w:r>
          <w:r>
            <w:instrText xml:space="preserve"> PAGEREF _Toc1890288530 \h </w:instrText>
          </w:r>
          <w:r>
            <w:fldChar w:fldCharType="separate"/>
          </w:r>
          <w:r>
            <w:t>10</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1120" w:firstLineChars="4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_Toc1759537161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 xml:space="preserve">5.3 </w:t>
          </w:r>
          <w:r>
            <w:rPr>
              <w:rFonts w:hint="default" w:ascii="仿宋_GB2312" w:hAnsi="仿宋_GB2312" w:eastAsia="仿宋_GB2312" w:cs="仿宋_GB2312"/>
              <w:bCs/>
              <w:kern w:val="2"/>
              <w:szCs w:val="32"/>
              <w:lang w:val="en-US" w:eastAsia="zh-CN" w:bidi="ar-SA"/>
            </w:rPr>
            <w:t>确认预约信息</w:t>
          </w:r>
          <w:r>
            <w:tab/>
          </w:r>
          <w:r>
            <w:fldChar w:fldCharType="begin"/>
          </w:r>
          <w:r>
            <w:instrText xml:space="preserve"> PAGEREF _Toc1759537161 \h </w:instrText>
          </w:r>
          <w:r>
            <w:fldChar w:fldCharType="separate"/>
          </w:r>
          <w:r>
            <w:t>11</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_Toc1438704736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szCs w:val="32"/>
              <w:lang w:val="en-US" w:eastAsia="zh-CN"/>
            </w:rPr>
            <w:t>6.分配评估人员</w:t>
          </w:r>
          <w:r>
            <w:tab/>
          </w:r>
          <w:r>
            <w:fldChar w:fldCharType="begin"/>
          </w:r>
          <w:r>
            <w:instrText xml:space="preserve"> PAGEREF _Toc1438704736 \h </w:instrText>
          </w:r>
          <w:r>
            <w:fldChar w:fldCharType="separate"/>
          </w:r>
          <w:r>
            <w:t>12</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_Toc928381905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szCs w:val="32"/>
              <w:lang w:val="en-US" w:eastAsia="zh-CN"/>
            </w:rPr>
            <w:t>7.在</w:t>
          </w:r>
          <w:r>
            <w:rPr>
              <w:rFonts w:hint="default" w:ascii="仿宋_GB2312" w:hAnsi="仿宋_GB2312" w:eastAsia="仿宋_GB2312" w:cs="仿宋_GB2312"/>
              <w:bCs/>
              <w:szCs w:val="32"/>
              <w:lang w:val="en-US" w:eastAsia="zh-CN"/>
            </w:rPr>
            <w:t>“民政政务”</w:t>
          </w:r>
          <w:r>
            <w:rPr>
              <w:rFonts w:hint="eastAsia" w:ascii="仿宋_GB2312" w:hAnsi="仿宋_GB2312" w:eastAsia="仿宋_GB2312" w:cs="仿宋_GB2312"/>
              <w:bCs/>
              <w:szCs w:val="32"/>
              <w:lang w:val="en-US" w:eastAsia="zh-CN"/>
            </w:rPr>
            <w:t>上</w:t>
          </w:r>
          <w:r>
            <w:rPr>
              <w:rFonts w:hint="default" w:ascii="仿宋_GB2312" w:hAnsi="仿宋_GB2312" w:eastAsia="仿宋_GB2312" w:cs="仿宋_GB2312"/>
              <w:bCs/>
              <w:szCs w:val="32"/>
              <w:lang w:val="en-US" w:eastAsia="zh-CN"/>
            </w:rPr>
            <w:t>录入评估过程</w:t>
          </w:r>
          <w:r>
            <w:tab/>
          </w:r>
          <w:r>
            <w:fldChar w:fldCharType="begin"/>
          </w:r>
          <w:r>
            <w:instrText xml:space="preserve"> PAGEREF _Toc928381905 \h </w:instrText>
          </w:r>
          <w:r>
            <w:fldChar w:fldCharType="separate"/>
          </w:r>
          <w:r>
            <w:t>13</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_Toc1149707233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8.发起退费</w:t>
          </w:r>
          <w:r>
            <w:tab/>
          </w:r>
          <w:r>
            <w:fldChar w:fldCharType="begin"/>
          </w:r>
          <w:r>
            <w:instrText xml:space="preserve"> PAGEREF _Toc1149707233 \h </w:instrText>
          </w:r>
          <w:r>
            <w:fldChar w:fldCharType="separate"/>
          </w:r>
          <w:r>
            <w:t>17</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_Toc742607498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9.</w:t>
          </w:r>
          <w:r>
            <w:rPr>
              <w:rFonts w:hint="default" w:ascii="仿宋_GB2312" w:hAnsi="仿宋_GB2312" w:eastAsia="仿宋_GB2312" w:cs="仿宋_GB2312"/>
              <w:bCs/>
              <w:kern w:val="2"/>
              <w:szCs w:val="32"/>
              <w:lang w:val="en-US" w:eastAsia="zh-CN" w:bidi="ar-SA"/>
            </w:rPr>
            <w:t>垫付资金核销申请</w:t>
          </w:r>
          <w:r>
            <w:tab/>
          </w:r>
          <w:r>
            <w:fldChar w:fldCharType="begin"/>
          </w:r>
          <w:r>
            <w:instrText xml:space="preserve"> PAGEREF _Toc742607498 \h </w:instrText>
          </w:r>
          <w:r>
            <w:fldChar w:fldCharType="separate"/>
          </w:r>
          <w:r>
            <w:t>18</w:t>
          </w:r>
          <w:r>
            <w:fldChar w:fldCharType="end"/>
          </w:r>
          <w:r>
            <w:rPr>
              <w:rFonts w:hint="eastAsia" w:ascii="楷体_GB2312" w:hAnsi="楷体_GB2312" w:eastAsia="楷体_GB2312" w:cs="楷体_GB2312"/>
              <w:color w:val="auto"/>
              <w:szCs w:val="32"/>
              <w:lang w:val="en-US" w:eastAsia="zh-CN"/>
            </w:rPr>
            <w:fldChar w:fldCharType="end"/>
          </w:r>
        </w:p>
        <w:p>
          <w:pPr>
            <w:pStyle w:val="12"/>
            <w:keepNext w:val="0"/>
            <w:keepLines w:val="0"/>
            <w:pageBreakBefore w:val="0"/>
            <w:widowControl w:val="0"/>
            <w:shd w:val="clear"/>
            <w:tabs>
              <w:tab w:val="right" w:leader="dot" w:pos="8306"/>
            </w:tabs>
            <w:kinsoku/>
            <w:wordWrap/>
            <w:overflowPunct/>
            <w:topLinePunct w:val="0"/>
            <w:autoSpaceDE/>
            <w:autoSpaceDN/>
            <w:bidi w:val="0"/>
            <w:adjustRightInd/>
            <w:snapToGrid/>
            <w:spacing w:line="420" w:lineRule="exact"/>
            <w:ind w:left="0" w:leftChars="0" w:firstLine="560" w:firstLineChars="200"/>
            <w:jc w:val="both"/>
            <w:textAlignment w:val="auto"/>
          </w:pPr>
          <w:r>
            <w:rPr>
              <w:rFonts w:hint="eastAsia" w:ascii="楷体_GB2312" w:hAnsi="楷体_GB2312" w:eastAsia="楷体_GB2312" w:cs="楷体_GB2312"/>
              <w:color w:val="auto"/>
              <w:szCs w:val="32"/>
              <w:lang w:val="en-US" w:eastAsia="zh-CN"/>
            </w:rPr>
            <w:fldChar w:fldCharType="begin"/>
          </w:r>
          <w:r>
            <w:rPr>
              <w:rFonts w:hint="eastAsia" w:ascii="楷体_GB2312" w:hAnsi="楷体_GB2312" w:eastAsia="楷体_GB2312" w:cs="楷体_GB2312"/>
              <w:szCs w:val="32"/>
              <w:lang w:val="en-US" w:eastAsia="zh-CN"/>
            </w:rPr>
            <w:instrText xml:space="preserve"> HYPERLINK \l _Toc654621694 </w:instrText>
          </w:r>
          <w:r>
            <w:rPr>
              <w:rFonts w:hint="eastAsia" w:ascii="楷体_GB2312" w:hAnsi="楷体_GB2312" w:eastAsia="楷体_GB2312" w:cs="楷体_GB2312"/>
              <w:szCs w:val="32"/>
              <w:lang w:val="en-US" w:eastAsia="zh-CN"/>
            </w:rPr>
            <w:fldChar w:fldCharType="separate"/>
          </w:r>
          <w:r>
            <w:rPr>
              <w:rFonts w:hint="eastAsia" w:ascii="仿宋_GB2312" w:hAnsi="仿宋_GB2312" w:eastAsia="仿宋_GB2312" w:cs="仿宋_GB2312"/>
              <w:bCs/>
              <w:kern w:val="2"/>
              <w:szCs w:val="32"/>
              <w:lang w:val="en-US" w:eastAsia="zh-CN" w:bidi="ar-SA"/>
            </w:rPr>
            <w:t>10.</w:t>
          </w:r>
          <w:r>
            <w:rPr>
              <w:rFonts w:hint="default" w:ascii="仿宋_GB2312" w:hAnsi="仿宋_GB2312" w:eastAsia="仿宋_GB2312" w:cs="仿宋_GB2312"/>
              <w:bCs/>
              <w:kern w:val="2"/>
              <w:szCs w:val="32"/>
              <w:lang w:val="en-US" w:eastAsia="zh-CN" w:bidi="ar-SA"/>
            </w:rPr>
            <w:t>垫付资金核销生成</w:t>
          </w:r>
          <w:r>
            <w:tab/>
          </w:r>
          <w:r>
            <w:fldChar w:fldCharType="begin"/>
          </w:r>
          <w:r>
            <w:instrText xml:space="preserve"> PAGEREF _Toc654621694 \h </w:instrText>
          </w:r>
          <w:r>
            <w:fldChar w:fldCharType="separate"/>
          </w:r>
          <w:r>
            <w:t>20</w:t>
          </w:r>
          <w:r>
            <w:fldChar w:fldCharType="end"/>
          </w:r>
          <w:r>
            <w:rPr>
              <w:rFonts w:hint="eastAsia" w:ascii="楷体_GB2312" w:hAnsi="楷体_GB2312" w:eastAsia="楷体_GB2312" w:cs="楷体_GB2312"/>
              <w:color w:val="auto"/>
              <w:szCs w:val="32"/>
              <w:lang w:val="en-US" w:eastAsia="zh-CN"/>
            </w:rPr>
            <w:fldChar w:fldCharType="end"/>
          </w:r>
        </w:p>
        <w:p>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line="540" w:lineRule="exact"/>
            <w:ind w:firstLine="480" w:firstLineChars="200"/>
            <w:jc w:val="center"/>
            <w:textAlignment w:val="auto"/>
            <w:rPr>
              <w:rFonts w:hint="eastAsia" w:ascii="楷体_GB2312" w:hAnsi="楷体_GB2312" w:eastAsia="楷体_GB2312" w:cs="楷体_GB2312"/>
              <w:color w:val="auto"/>
              <w:sz w:val="40"/>
              <w:szCs w:val="40"/>
              <w:lang w:val="en-US" w:eastAsia="zh-CN"/>
            </w:rPr>
          </w:pPr>
          <w:r>
            <w:rPr>
              <w:rFonts w:hint="eastAsia" w:ascii="楷体_GB2312" w:hAnsi="楷体_GB2312" w:eastAsia="楷体_GB2312" w:cs="楷体_GB2312"/>
              <w:color w:val="auto"/>
              <w:szCs w:val="32"/>
              <w:lang w:val="en-US" w:eastAsia="zh-CN"/>
            </w:rPr>
            <w:fldChar w:fldCharType="end"/>
          </w:r>
        </w:p>
      </w:sdtContent>
    </w:sdt>
    <w:p>
      <w:pPr>
        <w:pStyle w:val="11"/>
        <w:rPr>
          <w:rFonts w:hint="eastAsia" w:ascii="楷体_GB2312" w:hAnsi="楷体_GB2312" w:eastAsia="楷体_GB2312" w:cs="楷体_GB2312"/>
          <w:color w:val="FF0000"/>
          <w:sz w:val="28"/>
          <w:szCs w:val="28"/>
        </w:rPr>
      </w:pPr>
      <w:r>
        <w:rPr>
          <w:rFonts w:hint="eastAsia" w:ascii="楷体_GB2312" w:hAnsi="楷体_GB2312" w:eastAsia="楷体_GB2312" w:cs="楷体_GB2312"/>
          <w:color w:val="FF0000"/>
          <w:sz w:val="28"/>
          <w:szCs w:val="28"/>
        </w:rPr>
        <w:t>（</w:t>
      </w:r>
      <w:r>
        <w:rPr>
          <w:rFonts w:hint="eastAsia" w:ascii="楷体_GB2312" w:hAnsi="楷体_GB2312" w:eastAsia="楷体_GB2312" w:cs="楷体_GB2312"/>
          <w:color w:val="FF0000"/>
          <w:sz w:val="28"/>
          <w:szCs w:val="28"/>
          <w:lang w:eastAsia="zh-CN"/>
        </w:rPr>
        <w:t>系统网址</w:t>
      </w:r>
      <w:r>
        <w:rPr>
          <w:rFonts w:hint="eastAsia" w:ascii="楷体_GB2312" w:hAnsi="楷体_GB2312" w:eastAsia="楷体_GB2312" w:cs="楷体_GB2312"/>
          <w:color w:val="FF0000"/>
          <w:sz w:val="28"/>
          <w:szCs w:val="28"/>
        </w:rPr>
        <w:t>：</w:t>
      </w:r>
      <w:r>
        <w:rPr>
          <w:rFonts w:hint="eastAsia" w:ascii="楷体_GB2312" w:hAnsi="楷体_GB2312" w:eastAsia="楷体_GB2312" w:cs="楷体_GB2312"/>
          <w:color w:val="FF0000"/>
          <w:sz w:val="28"/>
          <w:szCs w:val="28"/>
        </w:rPr>
        <w:fldChar w:fldCharType="begin"/>
      </w:r>
      <w:r>
        <w:rPr>
          <w:rFonts w:hint="eastAsia" w:ascii="楷体_GB2312" w:hAnsi="楷体_GB2312" w:eastAsia="楷体_GB2312" w:cs="楷体_GB2312"/>
          <w:color w:val="FF0000"/>
          <w:sz w:val="28"/>
          <w:szCs w:val="28"/>
        </w:rPr>
        <w:instrText xml:space="preserve"> HYPERLINK "https://mzzwxt.mca.gov.cn/apphub/index）" </w:instrText>
      </w:r>
      <w:r>
        <w:rPr>
          <w:rFonts w:hint="eastAsia" w:ascii="楷体_GB2312" w:hAnsi="楷体_GB2312" w:eastAsia="楷体_GB2312" w:cs="楷体_GB2312"/>
          <w:color w:val="FF0000"/>
          <w:sz w:val="28"/>
          <w:szCs w:val="28"/>
        </w:rPr>
        <w:fldChar w:fldCharType="separate"/>
      </w:r>
      <w:r>
        <w:rPr>
          <w:rStyle w:val="20"/>
          <w:rFonts w:hint="eastAsia" w:ascii="楷体_GB2312" w:hAnsi="楷体_GB2312" w:eastAsia="楷体_GB2312" w:cs="楷体_GB2312"/>
          <w:color w:val="FF0000"/>
          <w:sz w:val="28"/>
          <w:szCs w:val="28"/>
        </w:rPr>
        <w:t>https://mzzwxt.mca.gov.cn/apphub/index）</w:t>
      </w:r>
      <w:r>
        <w:rPr>
          <w:rFonts w:hint="eastAsia" w:ascii="楷体_GB2312" w:hAnsi="楷体_GB2312" w:eastAsia="楷体_GB2312" w:cs="楷体_GB2312"/>
          <w:color w:val="FF0000"/>
          <w:sz w:val="28"/>
          <w:szCs w:val="28"/>
        </w:rPr>
        <w:fldChar w:fldCharType="end"/>
      </w:r>
    </w:p>
    <w:p>
      <w:pPr>
        <w:pStyle w:val="3"/>
        <w:pageBreakBefore w:val="0"/>
        <w:widowControl w:val="0"/>
        <w:tabs>
          <w:tab w:val="left" w:pos="312"/>
        </w:tabs>
        <w:kinsoku/>
        <w:wordWrap/>
        <w:overflowPunct/>
        <w:topLinePunct w:val="0"/>
        <w:autoSpaceDE/>
        <w:autoSpaceDN/>
        <w:bidi w:val="0"/>
        <w:snapToGrid/>
        <w:spacing w:before="0" w:line="540" w:lineRule="exact"/>
        <w:textAlignment w:val="auto"/>
        <w:rPr>
          <w:rFonts w:hint="eastAsia" w:ascii="黑体" w:hAnsi="黑体" w:eastAsia="黑体" w:cs="黑体"/>
          <w:sz w:val="32"/>
          <w:szCs w:val="32"/>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bookmarkStart w:id="0" w:name="_Toc7439"/>
      <w:bookmarkStart w:id="1" w:name="_Toc28826"/>
      <w:bookmarkStart w:id="2" w:name="_Toc841397142"/>
    </w:p>
    <w:p>
      <w:pPr>
        <w:pStyle w:val="3"/>
        <w:pageBreakBefore w:val="0"/>
        <w:widowControl w:val="0"/>
        <w:tabs>
          <w:tab w:val="left" w:pos="312"/>
        </w:tabs>
        <w:kinsoku/>
        <w:wordWrap/>
        <w:overflowPunct/>
        <w:topLinePunct w:val="0"/>
        <w:autoSpaceDE/>
        <w:autoSpaceDN/>
        <w:bidi w:val="0"/>
        <w:snapToGrid/>
        <w:spacing w:before="0" w:line="54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一、区民政部门创建和管理</w:t>
      </w:r>
      <w:bookmarkEnd w:id="0"/>
      <w:bookmarkEnd w:id="1"/>
      <w:r>
        <w:rPr>
          <w:rFonts w:hint="eastAsia" w:ascii="黑体" w:hAnsi="黑体" w:eastAsia="黑体" w:cs="黑体"/>
          <w:sz w:val="32"/>
          <w:szCs w:val="32"/>
          <w:lang w:val="en-US" w:eastAsia="zh-CN"/>
        </w:rPr>
        <w:t>第三方评估账号</w:t>
      </w:r>
      <w:bookmarkEnd w:id="2"/>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（一）整体流程</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老年人能力评估机构管理员</w:t>
      </w:r>
      <w:r>
        <w:rPr>
          <w:rFonts w:hint="eastAsia" w:ascii="仿宋_GB2312" w:hAnsi="仿宋_GB2312" w:eastAsia="仿宋_GB2312" w:cs="仿宋_GB2312"/>
          <w:sz w:val="32"/>
          <w:szCs w:val="32"/>
        </w:rPr>
        <w:t>用户</w:t>
      </w:r>
      <w:r>
        <w:rPr>
          <w:rFonts w:hint="eastAsia" w:ascii="仿宋_GB2312" w:hAnsi="仿宋_GB2312" w:eastAsia="仿宋_GB2312" w:cs="仿宋_GB2312"/>
          <w:sz w:val="32"/>
          <w:szCs w:val="32"/>
          <w:lang w:val="en-US" w:eastAsia="zh-CN"/>
        </w:rPr>
        <w:t>由区民政部门</w:t>
      </w:r>
      <w:r>
        <w:rPr>
          <w:rFonts w:hint="eastAsia" w:ascii="仿宋_GB2312" w:hAnsi="仿宋_GB2312" w:eastAsia="仿宋_GB2312" w:cs="仿宋_GB2312"/>
          <w:sz w:val="32"/>
          <w:szCs w:val="32"/>
        </w:rPr>
        <w:t>创建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机构账号建立成功后，账号、密码等信息信息将发送到建立账号时填写的管理员邮箱</w:t>
      </w:r>
      <w:bookmarkStart w:id="3" w:name="_Toc21594"/>
      <w:bookmarkStart w:id="4" w:name="_Toc20211"/>
      <w:r>
        <w:rPr>
          <w:rFonts w:hint="eastAsia" w:ascii="仿宋_GB2312" w:hAnsi="仿宋_GB2312" w:eastAsia="仿宋_GB2312" w:cs="仿宋_GB2312"/>
          <w:sz w:val="32"/>
          <w:szCs w:val="32"/>
          <w:lang w:val="en-US" w:eastAsia="zh-CN"/>
        </w:rPr>
        <w:t>，机构管理员可在全国养老服务信息平台上登录。</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创建新的第三方能力评估机构账号</w:t>
      </w:r>
      <w:bookmarkEnd w:id="3"/>
      <w:bookmarkEnd w:id="4"/>
      <w:r>
        <w:rPr>
          <w:rFonts w:hint="eastAsia" w:ascii="仿宋_GB2312" w:hAnsi="仿宋_GB2312" w:eastAsia="仿宋_GB2312" w:cs="仿宋_GB2312"/>
          <w:b/>
          <w:bCs/>
          <w:sz w:val="32"/>
          <w:szCs w:val="32"/>
          <w:lang w:val="en-US" w:eastAsia="zh-CN"/>
        </w:rPr>
        <w:t>具体流程</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民政工作人员首先在系统内填写</w:t>
      </w:r>
      <w:r>
        <w:rPr>
          <w:rFonts w:hint="eastAsia" w:ascii="仿宋_GB2312" w:hAnsi="仿宋_GB2312" w:eastAsia="仿宋_GB2312" w:cs="仿宋_GB2312"/>
          <w:sz w:val="32"/>
          <w:szCs w:val="32"/>
          <w:lang w:val="en-US" w:eastAsia="zh-CN"/>
        </w:rPr>
        <w:t>第三方能力评估</w:t>
      </w:r>
      <w:r>
        <w:rPr>
          <w:rFonts w:hint="eastAsia" w:ascii="仿宋_GB2312" w:hAnsi="仿宋_GB2312" w:eastAsia="仿宋_GB2312" w:cs="仿宋_GB2312"/>
          <w:sz w:val="32"/>
          <w:szCs w:val="32"/>
        </w:rPr>
        <w:t>机构基本信息并创建机构账户，再由机构用户登录系统填写备案信息。</w:t>
      </w:r>
    </w:p>
    <w:p>
      <w:pPr>
        <w:pageBreakBefore w:val="0"/>
        <w:widowControl w:val="0"/>
        <w:kinsoku/>
        <w:wordWrap/>
        <w:overflowPunct/>
        <w:topLinePunct w:val="0"/>
        <w:autoSpaceDE/>
        <w:autoSpaceDN/>
        <w:bidi w:val="0"/>
        <w:snapToGrid/>
        <w:spacing w:line="540" w:lineRule="exact"/>
        <w:textAlignment w:val="auto"/>
        <w:rPr>
          <w:rFonts w:hint="eastAsia"/>
        </w:rPr>
      </w:pPr>
      <w:r>
        <w:rPr>
          <w:rFonts w:hint="eastAsia" w:ascii="仿宋_GB2312" w:hAnsi="仿宋_GB2312" w:eastAsia="仿宋_GB2312" w:cs="仿宋_GB2312"/>
          <w:b/>
          <w:bCs/>
          <w:sz w:val="32"/>
          <w:szCs w:val="32"/>
        </w:rPr>
        <w:t>步骤1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民政部门工作人员</w:t>
      </w:r>
      <w:r>
        <w:rPr>
          <w:rFonts w:hint="eastAsia" w:ascii="仿宋_GB2312" w:hAnsi="仿宋_GB2312" w:eastAsia="仿宋_GB2312" w:cs="仿宋_GB2312"/>
          <w:sz w:val="32"/>
          <w:szCs w:val="32"/>
        </w:rPr>
        <w:t>的操作步骤为：点击系统上方一级菜单中的“配置管理”，再点击左侧二级菜单中“用户管理”--“</w:t>
      </w:r>
      <w:r>
        <w:rPr>
          <w:rFonts w:hint="eastAsia" w:ascii="仿宋_GB2312" w:hAnsi="仿宋_GB2312" w:eastAsia="仿宋_GB2312" w:cs="仿宋_GB2312"/>
          <w:sz w:val="32"/>
          <w:szCs w:val="32"/>
          <w:lang w:val="en-US" w:eastAsia="zh-CN"/>
        </w:rPr>
        <w:t>第三方评估机构等用户管理</w:t>
      </w:r>
      <w:r>
        <w:rPr>
          <w:rFonts w:hint="eastAsia" w:ascii="仿宋_GB2312" w:hAnsi="仿宋_GB2312" w:eastAsia="仿宋_GB2312" w:cs="仿宋_GB2312"/>
          <w:sz w:val="32"/>
          <w:szCs w:val="32"/>
        </w:rPr>
        <w:t>”。如下图：</w:t>
      </w:r>
    </w:p>
    <w:p>
      <w:pPr>
        <w:bidi w:val="0"/>
        <w:ind w:left="0" w:leftChars="0" w:firstLine="0" w:firstLineChars="0"/>
        <w:rPr>
          <w:rFonts w:hint="eastAsia"/>
        </w:rPr>
      </w:pPr>
      <w:r>
        <w:drawing>
          <wp:inline distT="0" distB="0" distL="114300" distR="114300">
            <wp:extent cx="5264150" cy="2820035"/>
            <wp:effectExtent l="0" t="0" r="889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4150" cy="2820035"/>
                    </a:xfrm>
                    <a:prstGeom prst="rect">
                      <a:avLst/>
                    </a:prstGeom>
                    <a:noFill/>
                    <a:ln>
                      <a:noFill/>
                    </a:ln>
                  </pic:spPr>
                </pic:pic>
              </a:graphicData>
            </a:graphic>
          </wp:inline>
        </w:drawing>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步骤2：</w:t>
      </w:r>
      <w:r>
        <w:rPr>
          <w:rFonts w:hint="eastAsia" w:ascii="仿宋_GB2312" w:hAnsi="仿宋_GB2312" w:eastAsia="仿宋_GB2312" w:cs="仿宋_GB2312"/>
          <w:sz w:val="32"/>
          <w:szCs w:val="32"/>
          <w:lang w:eastAsia="zh-CN"/>
        </w:rPr>
        <w:t>点击“新增用户”，开始创建</w:t>
      </w:r>
      <w:r>
        <w:rPr>
          <w:rFonts w:hint="eastAsia" w:ascii="仿宋_GB2312" w:hAnsi="仿宋_GB2312" w:eastAsia="仿宋_GB2312" w:cs="仿宋_GB2312"/>
          <w:sz w:val="32"/>
          <w:szCs w:val="32"/>
          <w:lang w:val="en-US" w:eastAsia="zh-CN"/>
        </w:rPr>
        <w:t>第三方评估</w:t>
      </w:r>
      <w:r>
        <w:rPr>
          <w:rFonts w:hint="eastAsia" w:ascii="仿宋_GB2312" w:hAnsi="仿宋_GB2312" w:eastAsia="仿宋_GB2312" w:cs="仿宋_GB2312"/>
          <w:sz w:val="32"/>
          <w:szCs w:val="32"/>
          <w:lang w:eastAsia="zh-CN"/>
        </w:rPr>
        <w:t>机构管理员，如下图。</w:t>
      </w:r>
      <w:r>
        <w:rPr>
          <w:rFonts w:hint="eastAsia" w:ascii="仿宋_GB2312" w:hAnsi="仿宋_GB2312" w:eastAsia="仿宋_GB2312" w:cs="仿宋_GB2312"/>
          <w:sz w:val="32"/>
          <w:szCs w:val="32"/>
          <w:lang w:val="en-US" w:eastAsia="zh-CN"/>
        </w:rPr>
        <w:t>注意，在“机构基本信息”栏目，关于连锁机构的填写说明如下：</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1.如果评估机构不是连锁机构</w:t>
      </w:r>
      <w:r>
        <w:rPr>
          <w:rFonts w:hint="eastAsia" w:ascii="仿宋_GB2312" w:hAnsi="仿宋_GB2312" w:eastAsia="仿宋_GB2312" w:cs="仿宋_GB2312"/>
          <w:sz w:val="32"/>
          <w:szCs w:val="32"/>
          <w:lang w:val="en-US" w:eastAsia="zh-CN"/>
        </w:rPr>
        <w:t>，则在“是否连锁机构”处选“否”，可参照图-非连锁机构；</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4310" cy="2894965"/>
            <wp:effectExtent l="0" t="0" r="13970" b="635"/>
            <wp:docPr id="6" name="图片 6" descr="981dd19362ecc3313b8bdd19112a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81dd19362ecc3313b8bdd19112a6828"/>
                    <pic:cNvPicPr>
                      <a:picLocks noChangeAspect="1"/>
                    </pic:cNvPicPr>
                  </pic:nvPicPr>
                  <pic:blipFill>
                    <a:blip r:embed="rId8"/>
                    <a:stretch>
                      <a:fillRect/>
                    </a:stretch>
                  </pic:blipFill>
                  <pic:spPr>
                    <a:xfrm>
                      <a:off x="0" y="0"/>
                      <a:ext cx="5274310" cy="2894965"/>
                    </a:xfrm>
                    <a:prstGeom prst="rect">
                      <a:avLst/>
                    </a:prstGeom>
                  </pic:spPr>
                </pic:pic>
              </a:graphicData>
            </a:graphic>
          </wp:inline>
        </w:drawing>
      </w:r>
    </w:p>
    <w:p>
      <w:pPr>
        <w:bidi w:val="0"/>
        <w:ind w:left="0" w:leftChars="0" w:firstLine="0" w:firstLineChars="0"/>
        <w:jc w:val="center"/>
        <w:rPr>
          <w:rFonts w:hint="eastAsia"/>
          <w:lang w:val="en-US" w:eastAsia="zh-CN"/>
        </w:rPr>
      </w:pPr>
      <w:r>
        <w:rPr>
          <w:rFonts w:hint="eastAsia"/>
          <w:lang w:val="en-US" w:eastAsia="zh-CN"/>
        </w:rPr>
        <w:t>图-非连锁机构</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2.如果是连锁机构的母机构</w:t>
      </w:r>
      <w:r>
        <w:rPr>
          <w:rFonts w:hint="eastAsia" w:ascii="仿宋_GB2312" w:hAnsi="仿宋_GB2312" w:eastAsia="仿宋_GB2312" w:cs="仿宋_GB2312"/>
          <w:b w:val="0"/>
          <w:bCs w:val="0"/>
          <w:sz w:val="32"/>
          <w:szCs w:val="32"/>
          <w:lang w:val="en-US" w:eastAsia="zh-CN"/>
        </w:rPr>
        <w:t>，则在“是否连锁机构”处选“是”，“连锁机构分支”选“否”，可参照图-连锁机构母机构；</w:t>
      </w:r>
    </w:p>
    <w:p>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5255260" cy="2886075"/>
            <wp:effectExtent l="0" t="0" r="2540" b="9525"/>
            <wp:docPr id="7" name="图片 7" descr="48f8c1b810e0207f1b2a82d952012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f8c1b810e0207f1b2a82d952012e1c"/>
                    <pic:cNvPicPr>
                      <a:picLocks noChangeAspect="1"/>
                    </pic:cNvPicPr>
                  </pic:nvPicPr>
                  <pic:blipFill>
                    <a:blip r:embed="rId9"/>
                    <a:stretch>
                      <a:fillRect/>
                    </a:stretch>
                  </pic:blipFill>
                  <pic:spPr>
                    <a:xfrm>
                      <a:off x="0" y="0"/>
                      <a:ext cx="5255260" cy="2886075"/>
                    </a:xfrm>
                    <a:prstGeom prst="rect">
                      <a:avLst/>
                    </a:prstGeom>
                  </pic:spPr>
                </pic:pic>
              </a:graphicData>
            </a:graphic>
          </wp:inline>
        </w:drawing>
      </w:r>
    </w:p>
    <w:p>
      <w:pPr>
        <w:bidi w:val="0"/>
        <w:ind w:left="0" w:leftChars="0" w:firstLine="0" w:firstLineChars="0"/>
        <w:jc w:val="center"/>
        <w:rPr>
          <w:rFonts w:hint="eastAsia"/>
          <w:lang w:val="en-US" w:eastAsia="zh-CN"/>
        </w:rPr>
      </w:pPr>
      <w:r>
        <w:rPr>
          <w:rFonts w:hint="eastAsia"/>
          <w:lang w:val="en-US" w:eastAsia="zh-CN"/>
        </w:rPr>
        <w:t>图-连锁机构母机构</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3.如果是连锁机构的分支机构，</w:t>
      </w:r>
      <w:r>
        <w:rPr>
          <w:rFonts w:hint="eastAsia" w:ascii="仿宋_GB2312" w:hAnsi="仿宋_GB2312" w:eastAsia="仿宋_GB2312" w:cs="仿宋_GB2312"/>
          <w:b w:val="0"/>
          <w:bCs w:val="0"/>
          <w:sz w:val="32"/>
          <w:szCs w:val="32"/>
          <w:lang w:val="en-US" w:eastAsia="zh-CN"/>
        </w:rPr>
        <w:t>则在“是否连锁机构”处选“是”，“连锁机构分支”选“是”，在“母机构统一社会信用代码”里填写母机构的统一社会使用代码后点击“读取”，可参照图-连锁机构分支机构。</w:t>
      </w:r>
      <w:r>
        <w:rPr>
          <w:rFonts w:hint="eastAsia" w:ascii="仿宋_GB2312" w:hAnsi="仿宋_GB2312" w:eastAsia="仿宋_GB2312" w:cs="仿宋_GB2312"/>
          <w:b/>
          <w:bCs/>
          <w:sz w:val="32"/>
          <w:szCs w:val="32"/>
          <w:lang w:val="en-US" w:eastAsia="zh-CN"/>
        </w:rPr>
        <w:t>注意：创建分支机构前，母机构账号须先进行账号创建、备案/登记，并经区民政部门审核通过。</w:t>
      </w:r>
    </w:p>
    <w:p>
      <w:pPr>
        <w:bidi w:val="0"/>
        <w:ind w:left="0" w:leftChars="0" w:firstLine="0" w:firstLineChars="0"/>
      </w:pPr>
      <w:r>
        <w:drawing>
          <wp:inline distT="0" distB="0" distL="114300" distR="114300">
            <wp:extent cx="5252085" cy="2863215"/>
            <wp:effectExtent l="0" t="0" r="571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52085" cy="2863215"/>
                    </a:xfrm>
                    <a:prstGeom prst="rect">
                      <a:avLst/>
                    </a:prstGeom>
                    <a:noFill/>
                    <a:ln>
                      <a:noFill/>
                    </a:ln>
                  </pic:spPr>
                </pic:pic>
              </a:graphicData>
            </a:graphic>
          </wp:inline>
        </w:drawing>
      </w:r>
    </w:p>
    <w:p>
      <w:pPr>
        <w:bidi w:val="0"/>
        <w:ind w:left="0" w:leftChars="0" w:firstLine="0" w:firstLineChars="0"/>
        <w:jc w:val="center"/>
        <w:rPr>
          <w:rFonts w:hint="eastAsia"/>
        </w:rPr>
      </w:pPr>
      <w:r>
        <w:rPr>
          <w:rFonts w:hint="eastAsia"/>
          <w:lang w:val="en-US" w:eastAsia="zh-CN"/>
        </w:rPr>
        <w:t>图-连锁机构分支机构</w:t>
      </w:r>
    </w:p>
    <w:p>
      <w:pPr>
        <w:pageBreakBefore w:val="0"/>
        <w:widowControl w:val="0"/>
        <w:kinsoku/>
        <w:wordWrap/>
        <w:overflowPunct/>
        <w:topLinePunct w:val="0"/>
        <w:autoSpaceDE/>
        <w:autoSpaceDN/>
        <w:bidi w:val="0"/>
        <w:snapToGrid/>
        <w:spacing w:line="54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步骤</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区民政部门录入机构基本信息后，须填写“绑定法人/负责人/管理员信息”栏目内容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点击“新增”</w:t>
      </w:r>
      <w:r>
        <w:rPr>
          <w:rFonts w:hint="eastAsia" w:ascii="仿宋_GB2312" w:hAnsi="仿宋_GB2312" w:eastAsia="仿宋_GB2312" w:cs="仿宋_GB2312"/>
          <w:sz w:val="32"/>
          <w:szCs w:val="32"/>
          <w:lang w:eastAsia="zh-CN"/>
        </w:rPr>
        <w:t>即可。如下图，</w:t>
      </w:r>
      <w:r>
        <w:rPr>
          <w:rFonts w:hint="eastAsia" w:ascii="仿宋_GB2312" w:hAnsi="仿宋_GB2312" w:eastAsia="仿宋_GB2312" w:cs="仿宋_GB2312"/>
          <w:b/>
          <w:bCs/>
          <w:sz w:val="32"/>
          <w:szCs w:val="32"/>
          <w:lang w:val="en-US" w:eastAsia="zh-CN"/>
        </w:rPr>
        <w:t>注意：第三方评估的账号和密码将会发送至填写的邮箱地址里。</w:t>
      </w:r>
    </w:p>
    <w:p>
      <w:pPr>
        <w:bidi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916805" cy="2687320"/>
            <wp:effectExtent l="0" t="0" r="17145" b="17780"/>
            <wp:docPr id="9" name="图片 9" descr="e2a26d2a2314dccb94d74340bbd4a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a26d2a2314dccb94d74340bbd4a601"/>
                    <pic:cNvPicPr>
                      <a:picLocks noChangeAspect="1"/>
                    </pic:cNvPicPr>
                  </pic:nvPicPr>
                  <pic:blipFill>
                    <a:blip r:embed="rId11"/>
                    <a:stretch>
                      <a:fillRect/>
                    </a:stretch>
                  </pic:blipFill>
                  <pic:spPr>
                    <a:xfrm>
                      <a:off x="0" y="0"/>
                      <a:ext cx="4916805" cy="2687320"/>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账号状态显示“启用”，说明机构账号开通成功，如果显示“创建失败”，请检查：</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1.注意身份证或者手机号是唯一值，不可重复认证；</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2.员工创建时间参考国办实名认证时间：周一至周五 8:00-18:00；</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3.若提示身份证或者有效期有误，请核实材料信息，编辑后重新提交。</w:t>
      </w:r>
    </w:p>
    <w:p>
      <w:pPr>
        <w:bidi w:val="0"/>
        <w:ind w:left="0" w:leftChars="0" w:firstLine="0" w:firstLineChars="0"/>
        <w:rPr>
          <w:rFonts w:hint="default"/>
          <w:lang w:val="en-US" w:eastAsia="zh-CN"/>
        </w:rPr>
      </w:pPr>
      <w:r>
        <w:drawing>
          <wp:inline distT="0" distB="0" distL="114300" distR="114300">
            <wp:extent cx="5256530" cy="1461135"/>
            <wp:effectExtent l="0" t="0" r="127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5256530" cy="1461135"/>
                    </a:xfrm>
                    <a:prstGeom prst="rect">
                      <a:avLst/>
                    </a:prstGeom>
                    <a:noFill/>
                    <a:ln>
                      <a:noFill/>
                    </a:ln>
                  </pic:spPr>
                </pic:pic>
              </a:graphicData>
            </a:graphic>
          </wp:inline>
        </w:drawing>
      </w:r>
    </w:p>
    <w:p>
      <w:pPr>
        <w:pageBreakBefore w:val="0"/>
        <w:widowControl w:val="0"/>
        <w:kinsoku/>
        <w:wordWrap/>
        <w:overflowPunct/>
        <w:topLinePunct w:val="0"/>
        <w:autoSpaceDE/>
        <w:autoSpaceDN/>
        <w:bidi w:val="0"/>
        <w:snapToGrid/>
        <w:spacing w:line="540" w:lineRule="exact"/>
        <w:textAlignment w:val="auto"/>
        <w:rPr>
          <w:rFonts w:hint="eastAsia"/>
          <w:lang w:val="en-US" w:eastAsia="zh-CN"/>
        </w:rPr>
      </w:pPr>
      <w:r>
        <w:rPr>
          <w:rFonts w:hint="eastAsia" w:ascii="仿宋_GB2312" w:hAnsi="仿宋_GB2312" w:eastAsia="仿宋_GB2312" w:cs="仿宋_GB2312"/>
          <w:b/>
          <w:bCs/>
          <w:sz w:val="32"/>
          <w:szCs w:val="32"/>
          <w:lang w:val="en-US" w:eastAsia="zh-CN"/>
        </w:rPr>
        <w:t>注意：</w:t>
      </w:r>
      <w:r>
        <w:rPr>
          <w:rFonts w:hint="eastAsia" w:ascii="仿宋_GB2312" w:hAnsi="仿宋_GB2312" w:eastAsia="仿宋_GB2312" w:cs="仿宋_GB2312"/>
          <w:sz w:val="32"/>
          <w:szCs w:val="32"/>
          <w:lang w:val="en-US" w:eastAsia="zh-CN"/>
        </w:rPr>
        <w:t>系统管理员/业务管理员</w:t>
      </w:r>
      <w:r>
        <w:rPr>
          <w:rFonts w:hint="eastAsia" w:ascii="仿宋_GB2312" w:hAnsi="仿宋_GB2312" w:eastAsia="仿宋_GB2312" w:cs="仿宋_GB2312"/>
          <w:b/>
          <w:bCs/>
          <w:color w:val="FF0000"/>
          <w:sz w:val="32"/>
          <w:szCs w:val="32"/>
          <w:lang w:val="en-US" w:eastAsia="zh-CN"/>
        </w:rPr>
        <w:t>不可通过</w:t>
      </w:r>
      <w:r>
        <w:rPr>
          <w:rFonts w:hint="eastAsia" w:ascii="仿宋_GB2312" w:hAnsi="仿宋_GB2312" w:eastAsia="仿宋_GB2312" w:cs="仿宋_GB2312"/>
          <w:sz w:val="32"/>
          <w:szCs w:val="32"/>
          <w:lang w:val="en-US" w:eastAsia="zh-CN"/>
        </w:rPr>
        <w:t>可信用户管理平台进行第三方评估机构账号创建。</w:t>
      </w:r>
    </w:p>
    <w:p>
      <w:pPr>
        <w:pStyle w:val="3"/>
        <w:pageBreakBefore w:val="0"/>
        <w:widowControl w:val="0"/>
        <w:tabs>
          <w:tab w:val="left" w:pos="312"/>
        </w:tabs>
        <w:kinsoku/>
        <w:wordWrap/>
        <w:overflowPunct/>
        <w:topLinePunct w:val="0"/>
        <w:autoSpaceDE/>
        <w:autoSpaceDN/>
        <w:bidi w:val="0"/>
        <w:snapToGrid/>
        <w:spacing w:before="0" w:line="540" w:lineRule="exact"/>
        <w:textAlignment w:val="auto"/>
        <w:rPr>
          <w:rFonts w:hint="eastAsia" w:ascii="黑体" w:hAnsi="黑体" w:eastAsia="黑体" w:cs="黑体"/>
          <w:b w:val="0"/>
          <w:bCs w:val="0"/>
          <w:sz w:val="32"/>
          <w:szCs w:val="32"/>
          <w:lang w:val="en-US" w:eastAsia="zh-CN"/>
        </w:rPr>
      </w:pPr>
      <w:bookmarkStart w:id="5" w:name="_Toc1880862541"/>
      <w:r>
        <w:rPr>
          <w:rFonts w:hint="eastAsia" w:ascii="黑体" w:hAnsi="黑体" w:eastAsia="黑体" w:cs="黑体"/>
          <w:b w:val="0"/>
          <w:bCs w:val="0"/>
          <w:sz w:val="32"/>
          <w:szCs w:val="32"/>
          <w:lang w:val="en-US" w:eastAsia="zh-CN"/>
        </w:rPr>
        <w:t>二、评估机构操作流程</w:t>
      </w:r>
      <w:bookmarkEnd w:id="5"/>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第三方评估机构通过机构备案邮箱获取账号和密码，须尽快在在全国养老服务信息平台上完成</w:t>
      </w:r>
      <w:r>
        <w:rPr>
          <w:rFonts w:hint="eastAsia" w:ascii="仿宋_GB2312" w:hAnsi="仿宋_GB2312" w:eastAsia="仿宋_GB2312" w:cs="仿宋_GB2312"/>
          <w:b w:val="0"/>
          <w:bCs w:val="0"/>
          <w:sz w:val="32"/>
          <w:szCs w:val="32"/>
          <w:lang w:val="en-US" w:eastAsia="zh-CN"/>
        </w:rPr>
        <w:t>登陆和身份校验、</w:t>
      </w:r>
      <w:r>
        <w:rPr>
          <w:rFonts w:hint="eastAsia" w:ascii="仿宋_GB2312" w:hAnsi="仿宋_GB2312" w:eastAsia="仿宋_GB2312" w:cs="仿宋_GB2312"/>
          <w:sz w:val="32"/>
          <w:szCs w:val="32"/>
          <w:lang w:val="en-US" w:eastAsia="zh-CN"/>
        </w:rPr>
        <w:t>“机构备案/登记”、“机构信息发布”、“机构补贴资格申请”等流程。</w:t>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eastAsia" w:ascii="仿宋_GB2312" w:hAnsi="仿宋_GB2312" w:eastAsia="仿宋_GB2312" w:cs="仿宋_GB2312"/>
          <w:b/>
          <w:bCs/>
          <w:sz w:val="32"/>
          <w:szCs w:val="32"/>
          <w:lang w:val="en-US" w:eastAsia="zh-CN"/>
        </w:rPr>
      </w:pPr>
      <w:bookmarkStart w:id="6" w:name="_Toc1793827275"/>
      <w:r>
        <w:rPr>
          <w:rFonts w:hint="eastAsia" w:ascii="仿宋_GB2312" w:hAnsi="仿宋_GB2312" w:eastAsia="仿宋_GB2312" w:cs="仿宋_GB2312"/>
          <w:b/>
          <w:bCs/>
          <w:sz w:val="32"/>
          <w:szCs w:val="32"/>
          <w:lang w:val="en-US" w:eastAsia="zh-CN"/>
        </w:rPr>
        <w:t>1.机构备案/信息登记</w:t>
      </w:r>
      <w:bookmarkEnd w:id="6"/>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操作：第三方评估机构在“政务服务”-“备案/登记”点击“登记/登记”按钮，根据评估机构情况填写相关备案信息，注意：</w:t>
      </w:r>
      <w:r>
        <w:rPr>
          <w:rFonts w:hint="eastAsia" w:ascii="仿宋_GB2312" w:hAnsi="仿宋_GB2312" w:eastAsia="仿宋_GB2312" w:cs="仿宋_GB2312"/>
          <w:b/>
          <w:bCs/>
          <w:sz w:val="32"/>
          <w:szCs w:val="32"/>
          <w:lang w:val="en-US" w:eastAsia="zh-CN"/>
        </w:rPr>
        <w:t>在“服务范围信息”里选择“能力评估服务”</w:t>
      </w:r>
      <w:r>
        <w:rPr>
          <w:rFonts w:hint="eastAsia" w:ascii="仿宋_GB2312" w:hAnsi="仿宋_GB2312" w:eastAsia="仿宋_GB2312" w:cs="仿宋_GB2312"/>
          <w:sz w:val="32"/>
          <w:szCs w:val="32"/>
          <w:lang w:val="en-US" w:eastAsia="zh-CN"/>
        </w:rPr>
        <w:t>。</w:t>
      </w:r>
    </w:p>
    <w:p>
      <w:pPr>
        <w:ind w:left="0" w:leftChars="0" w:firstLine="0" w:firstLineChars="0"/>
        <w:jc w:val="center"/>
        <w:rPr>
          <w:rFonts w:hint="default" w:cs="宋体"/>
          <w:lang w:val="en-US" w:eastAsia="zh-CN"/>
        </w:rPr>
      </w:pPr>
      <w:r>
        <w:drawing>
          <wp:inline distT="0" distB="0" distL="114300" distR="114300">
            <wp:extent cx="5029200" cy="276225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029200" cy="2762250"/>
                    </a:xfrm>
                    <a:prstGeom prst="rect">
                      <a:avLst/>
                    </a:prstGeom>
                    <a:noFill/>
                    <a:ln>
                      <a:noFill/>
                    </a:ln>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20" w:lineRule="exact"/>
        <w:ind w:firstLine="642" w:firstLineChars="200"/>
        <w:textAlignment w:val="auto"/>
        <w:rPr>
          <w:rFonts w:hint="eastAsia" w:ascii="仿宋_GB2312" w:hAnsi="仿宋_GB2312" w:eastAsia="仿宋_GB2312" w:cs="仿宋_GB2312"/>
          <w:b/>
          <w:bCs/>
          <w:sz w:val="32"/>
          <w:szCs w:val="32"/>
          <w:lang w:val="en-US" w:eastAsia="zh-CN"/>
        </w:rPr>
      </w:pPr>
      <w:bookmarkStart w:id="7" w:name="_Toc1376650013"/>
      <w:r>
        <w:rPr>
          <w:rFonts w:hint="eastAsia" w:ascii="仿宋_GB2312" w:hAnsi="仿宋_GB2312" w:eastAsia="仿宋_GB2312" w:cs="仿宋_GB2312"/>
          <w:b/>
          <w:bCs/>
          <w:sz w:val="32"/>
          <w:szCs w:val="32"/>
          <w:lang w:val="en-US" w:eastAsia="zh-CN"/>
        </w:rPr>
        <w:t>2.信息发布</w:t>
      </w:r>
      <w:bookmarkEnd w:id="7"/>
    </w:p>
    <w:p>
      <w:pPr>
        <w:pageBreakBefore w:val="0"/>
        <w:widowControl w:val="0"/>
        <w:kinsoku/>
        <w:wordWrap/>
        <w:overflowPunct/>
        <w:topLinePunct w:val="0"/>
        <w:autoSpaceDE/>
        <w:autoSpaceDN/>
        <w:bidi w:val="0"/>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息发布是将第三方评估机构的服务信息发布至全国养老服务信息平台、民政通等网站，供老年人及其家属访问查询机构服务信息，并在线预约各项服务。机构只有完成信息发布后，才可申请补贴资格认定，参加养老服务消费券项目。</w:t>
      </w:r>
    </w:p>
    <w:p>
      <w:pPr>
        <w:pageBreakBefore w:val="0"/>
        <w:widowControl w:val="0"/>
        <w:kinsoku/>
        <w:wordWrap/>
        <w:overflowPunct/>
        <w:topLinePunct w:val="0"/>
        <w:autoSpaceDE/>
        <w:autoSpaceDN/>
        <w:bidi w:val="0"/>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操作：</w:t>
      </w:r>
      <w:r>
        <w:rPr>
          <w:rFonts w:hint="eastAsia" w:ascii="仿宋_GB2312" w:hAnsi="仿宋_GB2312" w:eastAsia="仿宋_GB2312" w:cs="仿宋_GB2312"/>
          <w:sz w:val="32"/>
          <w:szCs w:val="32"/>
          <w:lang w:val="en-US" w:eastAsia="zh-CN"/>
        </w:rPr>
        <w:t>“机构管理”-“机构信息发布”-点击“新增”或“变更”进入机构信息发布填写页面，填写内容包括：基本展示信息、服务详细信息、能力评估服务信息、服务收费、机构定位信息。</w:t>
      </w:r>
    </w:p>
    <w:p>
      <w:pPr>
        <w:ind w:left="0" w:leftChars="0" w:firstLine="0" w:firstLineChars="0"/>
        <w:jc w:val="center"/>
      </w:pPr>
      <w:r>
        <w:drawing>
          <wp:inline distT="0" distB="0" distL="114300" distR="114300">
            <wp:extent cx="4894580" cy="2687955"/>
            <wp:effectExtent l="0" t="0" r="1270" b="171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4894580" cy="268795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28"/>
          <w:highlight w:val="yellow"/>
          <w:lang w:val="en-US" w:eastAsia="zh-CN"/>
        </w:rPr>
      </w:pPr>
      <w:r>
        <w:rPr>
          <w:rFonts w:hint="eastAsia" w:ascii="仿宋_GB2312" w:hAnsi="仿宋_GB2312" w:eastAsia="仿宋_GB2312" w:cs="仿宋_GB2312"/>
          <w:b/>
          <w:bCs/>
          <w:sz w:val="32"/>
          <w:szCs w:val="28"/>
          <w:highlight w:val="yellow"/>
          <w:lang w:val="en-US" w:eastAsia="zh-CN"/>
        </w:rPr>
        <w:t>注意：</w:t>
      </w:r>
      <w:r>
        <w:rPr>
          <w:rFonts w:hint="eastAsia" w:ascii="仿宋_GB2312" w:hAnsi="仿宋_GB2312" w:eastAsia="仿宋_GB2312" w:cs="仿宋_GB2312"/>
          <w:sz w:val="32"/>
          <w:szCs w:val="28"/>
          <w:highlight w:val="yellow"/>
          <w:lang w:val="en-US" w:eastAsia="zh-CN"/>
        </w:rPr>
        <w:t>服务收费分为“站点评估费”和“上门评估费”，站点评估为院内评估费用，费用标准按照《深圳市民政局 深圳市卫生健康委关于做好老年人能力评估工作的通知(试行）》所列的老年人能力评估项目编码，以及深圳市医疗保障局发布的《深圳市基本医疗服务价格项目目录》确定；“上门评估费”为上门费用+评估费用，其中上门费用标准由评估机构隶属的医院按规定程序向属地区医保部门办理备案，按备案价格执行。</w:t>
      </w:r>
    </w:p>
    <w:p>
      <w:pPr>
        <w:ind w:left="0" w:leftChars="0" w:firstLine="0" w:firstLineChars="0"/>
        <w:rPr>
          <w:rFonts w:hint="default"/>
          <w:lang w:val="en-US" w:eastAsia="zh-CN"/>
        </w:rPr>
      </w:pPr>
      <w:r>
        <w:drawing>
          <wp:inline distT="0" distB="0" distL="114300" distR="114300">
            <wp:extent cx="5269230" cy="2893695"/>
            <wp:effectExtent l="0" t="0" r="3810"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5269230" cy="2893695"/>
                    </a:xfrm>
                    <a:prstGeom prst="rect">
                      <a:avLst/>
                    </a:prstGeom>
                    <a:noFill/>
                    <a:ln>
                      <a:noFill/>
                    </a:ln>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default" w:ascii="仿宋_GB2312" w:hAnsi="仿宋_GB2312" w:eastAsia="仿宋_GB2312" w:cs="仿宋_GB2312"/>
          <w:b/>
          <w:bCs/>
          <w:kern w:val="2"/>
          <w:sz w:val="32"/>
          <w:szCs w:val="32"/>
          <w:lang w:val="en-US" w:eastAsia="zh-CN" w:bidi="ar-SA"/>
        </w:rPr>
      </w:pPr>
      <w:bookmarkStart w:id="8" w:name="_Toc1853902406"/>
      <w:r>
        <w:rPr>
          <w:rFonts w:hint="eastAsia" w:ascii="仿宋_GB2312" w:hAnsi="仿宋_GB2312" w:eastAsia="仿宋_GB2312" w:cs="仿宋_GB2312"/>
          <w:b/>
          <w:bCs/>
          <w:kern w:val="2"/>
          <w:sz w:val="32"/>
          <w:szCs w:val="32"/>
          <w:lang w:val="en-US" w:eastAsia="zh-CN" w:bidi="ar-SA"/>
        </w:rPr>
        <w:t>3.</w:t>
      </w:r>
      <w:r>
        <w:rPr>
          <w:rFonts w:hint="default" w:ascii="仿宋_GB2312" w:hAnsi="仿宋_GB2312" w:eastAsia="仿宋_GB2312" w:cs="仿宋_GB2312"/>
          <w:b/>
          <w:bCs/>
          <w:kern w:val="2"/>
          <w:sz w:val="32"/>
          <w:szCs w:val="32"/>
          <w:lang w:val="en-US" w:eastAsia="zh-CN" w:bidi="ar-SA"/>
        </w:rPr>
        <w:t>补贴资格认定</w:t>
      </w:r>
      <w:bookmarkEnd w:id="8"/>
    </w:p>
    <w:p>
      <w:pPr>
        <w:pageBreakBefore w:val="0"/>
        <w:widowControl w:val="0"/>
        <w:kinsoku/>
        <w:wordWrap/>
        <w:overflowPunct/>
        <w:topLinePunct w:val="0"/>
        <w:autoSpaceDE/>
        <w:autoSpaceDN/>
        <w:bidi w:val="0"/>
        <w:snapToGrid/>
        <w:spacing w:line="540" w:lineRule="exac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操作第三方</w:t>
      </w:r>
      <w:r>
        <w:rPr>
          <w:rFonts w:hint="default" w:ascii="仿宋_GB2312" w:hAnsi="仿宋_GB2312" w:eastAsia="仿宋_GB2312" w:cs="仿宋_GB2312"/>
          <w:kern w:val="2"/>
          <w:sz w:val="32"/>
          <w:szCs w:val="32"/>
          <w:lang w:val="en-US" w:eastAsia="zh-CN" w:bidi="ar-SA"/>
        </w:rPr>
        <w:t>机构</w:t>
      </w:r>
      <w:r>
        <w:rPr>
          <w:rFonts w:hint="eastAsia" w:ascii="仿宋_GB2312" w:hAnsi="仿宋_GB2312" w:eastAsia="仿宋_GB2312" w:cs="仿宋_GB2312"/>
          <w:kern w:val="2"/>
          <w:sz w:val="32"/>
          <w:szCs w:val="32"/>
          <w:lang w:val="en-US" w:eastAsia="zh-CN" w:bidi="ar-SA"/>
        </w:rPr>
        <w:t>在“政务业务”-“补贴资格申请”里填写“变更信息”，账号信息、收费标准信息后</w:t>
      </w:r>
      <w:r>
        <w:rPr>
          <w:rFonts w:hint="default" w:ascii="仿宋_GB2312" w:hAnsi="仿宋_GB2312" w:eastAsia="仿宋_GB2312" w:cs="仿宋_GB2312"/>
          <w:kern w:val="2"/>
          <w:sz w:val="32"/>
          <w:szCs w:val="32"/>
          <w:lang w:val="en-US" w:eastAsia="zh-CN" w:bidi="ar-SA"/>
        </w:rPr>
        <w:t>提交补贴资格认定申请，待审批通过后，机构将获得参加养老消费券项目资格。</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注意事项：</w:t>
      </w:r>
    </w:p>
    <w:p>
      <w:pPr>
        <w:pageBreakBefore w:val="0"/>
        <w:widowControl w:val="0"/>
        <w:kinsoku/>
        <w:wordWrap/>
        <w:overflowPunct/>
        <w:topLinePunct w:val="0"/>
        <w:autoSpaceDE/>
        <w:autoSpaceDN/>
        <w:bidi w:val="0"/>
        <w:snapToGrid/>
        <w:spacing w:line="540" w:lineRule="exact"/>
        <w:textAlignment w:val="auto"/>
        <w:rPr>
          <w:rFonts w:hint="default" w:cs="宋体"/>
          <w:lang w:val="en-US" w:eastAsia="zh-CN"/>
        </w:rPr>
      </w:pPr>
      <w:r>
        <w:rPr>
          <w:rFonts w:hint="eastAsia" w:ascii="仿宋_GB2312" w:hAnsi="仿宋_GB2312" w:eastAsia="仿宋_GB2312" w:cs="仿宋_GB2312"/>
          <w:b w:val="0"/>
          <w:bCs w:val="0"/>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服务收费分为“站点评估费”和“上门评估费”，站点评估为院内评估费用，费用标准按照《深圳市民政局 深圳市卫生健康委关于做好老年人能力评估工作的通知(试行）》所列的老年人能力评估项目编码，以及深圳市医疗保障局发布的《深圳市基本医疗服务价格项目目录》确定；“上门评估费”为上门费用+评估费用，其中上门费用标准由评估机构隶属的医院按规定程序向属地区医保部门办理备案，按备案价格执行。</w:t>
      </w:r>
    </w:p>
    <w:p>
      <w:pPr>
        <w:pageBreakBefore w:val="0"/>
        <w:widowControl w:val="0"/>
        <w:kinsoku/>
        <w:wordWrap/>
        <w:overflowPunct/>
        <w:topLinePunct w:val="0"/>
        <w:autoSpaceDE/>
        <w:autoSpaceDN/>
        <w:bidi w:val="0"/>
        <w:snapToGrid/>
        <w:spacing w:line="540" w:lineRule="exac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备案信息、信息发布内容以及补贴资格认定信息均可再次修改，修改内容需经</w:t>
      </w:r>
      <w:r>
        <w:rPr>
          <w:rFonts w:hint="eastAsia" w:ascii="仿宋_GB2312" w:hAnsi="仿宋_GB2312" w:eastAsia="仿宋_GB2312" w:cs="仿宋_GB2312"/>
          <w:kern w:val="2"/>
          <w:sz w:val="32"/>
          <w:szCs w:val="32"/>
          <w:lang w:val="en-US" w:eastAsia="zh-CN" w:bidi="ar-SA"/>
        </w:rPr>
        <w:t>区</w:t>
      </w:r>
      <w:r>
        <w:rPr>
          <w:rFonts w:hint="default" w:ascii="仿宋_GB2312" w:hAnsi="仿宋_GB2312" w:eastAsia="仿宋_GB2312" w:cs="仿宋_GB2312"/>
          <w:kern w:val="2"/>
          <w:sz w:val="32"/>
          <w:szCs w:val="32"/>
          <w:lang w:val="en-US" w:eastAsia="zh-CN" w:bidi="ar-SA"/>
        </w:rPr>
        <w:t>级民政部门审批后生效。</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信息发布内容修改：可调整在全国养老服务信息平台、民政通等对外展示的机构简介、照片、服务内容等。</w:t>
      </w:r>
    </w:p>
    <w:p>
      <w:pPr>
        <w:pageBreakBefore w:val="0"/>
        <w:widowControl w:val="0"/>
        <w:kinsoku/>
        <w:wordWrap/>
        <w:overflowPunct/>
        <w:topLinePunct w:val="0"/>
        <w:autoSpaceDE/>
        <w:autoSpaceDN/>
        <w:bidi w:val="0"/>
        <w:snapToGrid/>
        <w:spacing w:line="540" w:lineRule="exac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r>
        <w:rPr>
          <w:rFonts w:hint="default" w:ascii="仿宋_GB2312" w:hAnsi="仿宋_GB2312" w:eastAsia="仿宋_GB2312" w:cs="仿宋_GB2312"/>
          <w:kern w:val="2"/>
          <w:sz w:val="32"/>
          <w:szCs w:val="32"/>
          <w:lang w:val="en-US" w:eastAsia="zh-CN" w:bidi="ar-SA"/>
        </w:rPr>
        <w:t>补贴资格认定修改：可以调整机构账号开户信息、服务收费范围等。</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kern w:val="2"/>
          <w:sz w:val="32"/>
          <w:szCs w:val="32"/>
          <w:lang w:val="en-US" w:eastAsia="zh-CN" w:bidi="ar-SA"/>
        </w:rPr>
      </w:pPr>
      <w:r>
        <w:drawing>
          <wp:inline distT="0" distB="0" distL="114300" distR="114300">
            <wp:extent cx="5269230" cy="2893695"/>
            <wp:effectExtent l="0" t="0" r="762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69230" cy="2893695"/>
                    </a:xfrm>
                    <a:prstGeom prst="rect">
                      <a:avLst/>
                    </a:prstGeom>
                    <a:noFill/>
                    <a:ln>
                      <a:noFill/>
                    </a:ln>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default" w:ascii="仿宋_GB2312" w:hAnsi="仿宋_GB2312" w:eastAsia="仿宋_GB2312" w:cs="仿宋_GB2312"/>
          <w:b/>
          <w:bCs/>
          <w:kern w:val="2"/>
          <w:sz w:val="32"/>
          <w:szCs w:val="32"/>
          <w:lang w:val="en-US" w:eastAsia="zh-CN" w:bidi="ar-SA"/>
        </w:rPr>
      </w:pPr>
      <w:bookmarkStart w:id="9" w:name="_Toc2009622862"/>
      <w:r>
        <w:rPr>
          <w:rFonts w:hint="eastAsia" w:ascii="仿宋_GB2312" w:hAnsi="仿宋_GB2312" w:eastAsia="仿宋_GB2312" w:cs="仿宋_GB2312"/>
          <w:b/>
          <w:bCs/>
          <w:kern w:val="2"/>
          <w:sz w:val="32"/>
          <w:szCs w:val="32"/>
          <w:lang w:val="en-US" w:eastAsia="zh-CN" w:bidi="ar-SA"/>
        </w:rPr>
        <w:t>4.</w:t>
      </w:r>
      <w:r>
        <w:rPr>
          <w:rFonts w:hint="default" w:ascii="仿宋_GB2312" w:hAnsi="仿宋_GB2312" w:eastAsia="仿宋_GB2312" w:cs="仿宋_GB2312"/>
          <w:b/>
          <w:bCs/>
          <w:kern w:val="2"/>
          <w:sz w:val="32"/>
          <w:szCs w:val="32"/>
          <w:lang w:val="en-US" w:eastAsia="zh-CN" w:bidi="ar-SA"/>
        </w:rPr>
        <w:t>申请接入支付平台</w:t>
      </w:r>
      <w:bookmarkEnd w:id="9"/>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民政部门审核机构补贴资格申请后，评估机构在“机构管理-支付平台接入申请”点击微信、云闪付、支付宝支付平台对应的“申请接入”按钮，不同平台申请的要求提供的接入材料不同，请根据各平台所城的资料填写相关信息。以下是各平台客服联系方式。</w:t>
      </w:r>
    </w:p>
    <w:p>
      <w:pPr>
        <w:pStyle w:val="4"/>
        <w:pageBreakBefore w:val="0"/>
        <w:widowControl w:val="0"/>
        <w:kinsoku/>
        <w:wordWrap/>
        <w:overflowPunct/>
        <w:topLinePunct w:val="0"/>
        <w:autoSpaceDE/>
        <w:autoSpaceDN/>
        <w:bidi w:val="0"/>
        <w:snapToGrid/>
        <w:spacing w:before="0" w:line="540" w:lineRule="exact"/>
        <w:ind w:firstLine="642" w:firstLineChars="200"/>
        <w:textAlignment w:val="auto"/>
        <w:rPr>
          <w:rFonts w:hint="eastAsia" w:ascii="仿宋_GB2312" w:hAnsi="仿宋_GB2312" w:eastAsia="仿宋_GB2312" w:cs="仿宋_GB2312"/>
          <w:b/>
          <w:bCs/>
          <w:kern w:val="2"/>
          <w:sz w:val="32"/>
          <w:szCs w:val="32"/>
          <w:lang w:val="en-US" w:eastAsia="zh-CN" w:bidi="ar-SA"/>
        </w:rPr>
      </w:pPr>
      <w:bookmarkStart w:id="10" w:name="_Toc768883818"/>
      <w:r>
        <w:rPr>
          <w:rFonts w:hint="eastAsia" w:ascii="仿宋_GB2312" w:hAnsi="仿宋_GB2312" w:eastAsia="仿宋_GB2312" w:cs="仿宋_GB2312"/>
          <w:b/>
          <w:bCs/>
          <w:kern w:val="2"/>
          <w:sz w:val="32"/>
          <w:szCs w:val="32"/>
          <w:lang w:val="en-US" w:eastAsia="zh-CN" w:bidi="ar-SA"/>
        </w:rPr>
        <w:t>（1）微信</w:t>
      </w:r>
      <w:bookmarkEnd w:id="10"/>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微信支付服务专线：95017</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PC端商家平台：https://pay.weixin.qq.com/</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微信小程序：微信支付商家助手</w:t>
      </w:r>
    </w:p>
    <w:p>
      <w:pPr>
        <w:pStyle w:val="4"/>
        <w:pageBreakBefore w:val="0"/>
        <w:widowControl w:val="0"/>
        <w:kinsoku/>
        <w:wordWrap/>
        <w:overflowPunct/>
        <w:topLinePunct w:val="0"/>
        <w:autoSpaceDE/>
        <w:autoSpaceDN/>
        <w:bidi w:val="0"/>
        <w:snapToGrid/>
        <w:spacing w:before="0" w:line="540" w:lineRule="exact"/>
        <w:ind w:firstLine="642" w:firstLineChars="200"/>
        <w:textAlignment w:val="auto"/>
        <w:rPr>
          <w:rFonts w:hint="eastAsia" w:ascii="仿宋_GB2312" w:hAnsi="仿宋_GB2312" w:eastAsia="仿宋_GB2312" w:cs="仿宋_GB2312"/>
          <w:b/>
          <w:bCs/>
          <w:kern w:val="2"/>
          <w:sz w:val="32"/>
          <w:szCs w:val="32"/>
          <w:lang w:val="en-US" w:eastAsia="zh-CN" w:bidi="ar-SA"/>
        </w:rPr>
      </w:pPr>
      <w:bookmarkStart w:id="11" w:name="_Toc370484969"/>
      <w:r>
        <w:rPr>
          <w:rFonts w:hint="eastAsia" w:ascii="仿宋_GB2312" w:hAnsi="仿宋_GB2312" w:eastAsia="仿宋_GB2312" w:cs="仿宋_GB2312"/>
          <w:b/>
          <w:bCs/>
          <w:kern w:val="2"/>
          <w:sz w:val="32"/>
          <w:szCs w:val="32"/>
          <w:lang w:val="en-US" w:eastAsia="zh-CN" w:bidi="ar-SA"/>
        </w:rPr>
        <w:t>（2）支付宝</w:t>
      </w:r>
      <w:bookmarkEnd w:id="11"/>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商家客服专线：400-758-5858</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PC端商家平台：https://b.alipay.com/</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支付宝小程序：支付宝商家助手</w:t>
      </w:r>
    </w:p>
    <w:p>
      <w:pPr>
        <w:pStyle w:val="4"/>
        <w:pageBreakBefore w:val="0"/>
        <w:widowControl w:val="0"/>
        <w:kinsoku/>
        <w:wordWrap/>
        <w:overflowPunct/>
        <w:topLinePunct w:val="0"/>
        <w:autoSpaceDE/>
        <w:autoSpaceDN/>
        <w:bidi w:val="0"/>
        <w:snapToGrid/>
        <w:spacing w:before="0" w:line="540" w:lineRule="exact"/>
        <w:ind w:firstLine="642" w:firstLineChars="200"/>
        <w:textAlignment w:val="auto"/>
        <w:rPr>
          <w:rFonts w:hint="eastAsia" w:ascii="仿宋_GB2312" w:hAnsi="仿宋_GB2312" w:eastAsia="仿宋_GB2312" w:cs="仿宋_GB2312"/>
          <w:b/>
          <w:bCs/>
          <w:kern w:val="2"/>
          <w:sz w:val="32"/>
          <w:szCs w:val="32"/>
          <w:lang w:val="en-US" w:eastAsia="zh-CN" w:bidi="ar-SA"/>
        </w:rPr>
      </w:pPr>
      <w:bookmarkStart w:id="12" w:name="_Toc623065759"/>
      <w:r>
        <w:rPr>
          <w:rFonts w:hint="eastAsia" w:ascii="仿宋_GB2312" w:hAnsi="仿宋_GB2312" w:eastAsia="仿宋_GB2312" w:cs="仿宋_GB2312"/>
          <w:b/>
          <w:bCs/>
          <w:kern w:val="2"/>
          <w:sz w:val="32"/>
          <w:szCs w:val="32"/>
          <w:lang w:val="en-US" w:eastAsia="zh-CN" w:bidi="ar-SA"/>
        </w:rPr>
        <w:t>（3）云闪付</w:t>
      </w:r>
      <w:bookmarkEnd w:id="12"/>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官方客服热线：95516</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商户合作专线：400-779-5516</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pacing w:val="0"/>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PC端商家中心：</w:t>
      </w:r>
      <w:r>
        <w:rPr>
          <w:rFonts w:hint="eastAsia" w:ascii="仿宋_GB2312" w:hAnsi="仿宋_GB2312" w:eastAsia="仿宋_GB2312" w:cs="仿宋_GB2312"/>
          <w:spacing w:val="0"/>
          <w:kern w:val="2"/>
          <w:sz w:val="32"/>
          <w:szCs w:val="32"/>
          <w:lang w:val="en-US" w:eastAsia="zh-CN" w:bidi="ar-SA"/>
        </w:rPr>
        <w:t>https://merchant.unionpay.com/join/</w:t>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云闪付小程序：商户服务</w:t>
      </w:r>
    </w:p>
    <w:p>
      <w:pPr>
        <w:spacing w:line="240" w:lineRule="auto"/>
        <w:ind w:left="0" w:leftChars="0" w:firstLine="0" w:firstLineChars="0"/>
      </w:pPr>
      <w:r>
        <w:drawing>
          <wp:inline distT="0" distB="0" distL="114300" distR="114300">
            <wp:extent cx="5269230" cy="2899410"/>
            <wp:effectExtent l="0" t="0" r="381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9230" cy="2899410"/>
                    </a:xfrm>
                    <a:prstGeom prst="rect">
                      <a:avLst/>
                    </a:prstGeom>
                    <a:noFill/>
                    <a:ln>
                      <a:noFill/>
                    </a:ln>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eastAsia" w:ascii="仿宋_GB2312" w:hAnsi="仿宋_GB2312" w:eastAsia="仿宋_GB2312" w:cs="仿宋_GB2312"/>
          <w:b/>
          <w:bCs/>
          <w:sz w:val="32"/>
          <w:szCs w:val="32"/>
          <w:lang w:val="en-US" w:eastAsia="zh-CN"/>
        </w:rPr>
      </w:pPr>
      <w:bookmarkStart w:id="13" w:name="_Toc243983812"/>
      <w:r>
        <w:rPr>
          <w:rFonts w:hint="eastAsia" w:ascii="仿宋_GB2312" w:hAnsi="仿宋_GB2312" w:eastAsia="仿宋_GB2312" w:cs="仿宋_GB2312"/>
          <w:b/>
          <w:bCs/>
          <w:sz w:val="32"/>
          <w:szCs w:val="32"/>
          <w:lang w:val="en-US" w:eastAsia="zh-CN"/>
        </w:rPr>
        <w:t>5.配置员工账号及权限</w:t>
      </w:r>
      <w:bookmarkEnd w:id="13"/>
    </w:p>
    <w:p>
      <w:pPr>
        <w:pStyle w:val="4"/>
        <w:pageBreakBefore w:val="0"/>
        <w:widowControl w:val="0"/>
        <w:numPr>
          <w:ilvl w:val="0"/>
          <w:numId w:val="0"/>
        </w:numPr>
        <w:kinsoku/>
        <w:wordWrap/>
        <w:overflowPunct/>
        <w:topLinePunct w:val="0"/>
        <w:autoSpaceDE/>
        <w:autoSpaceDN/>
        <w:bidi w:val="0"/>
        <w:snapToGrid/>
        <w:spacing w:before="0" w:line="540" w:lineRule="exact"/>
        <w:ind w:leftChars="0" w:firstLine="642" w:firstLineChars="200"/>
        <w:textAlignment w:val="auto"/>
        <w:rPr>
          <w:rFonts w:hint="eastAsia" w:ascii="仿宋_GB2312" w:hAnsi="仿宋_GB2312" w:eastAsia="仿宋_GB2312" w:cs="仿宋_GB2312"/>
          <w:b/>
          <w:bCs/>
          <w:sz w:val="32"/>
          <w:szCs w:val="32"/>
        </w:rPr>
      </w:pPr>
      <w:bookmarkStart w:id="14" w:name="_Toc1289892337"/>
      <w:r>
        <w:rPr>
          <w:rFonts w:hint="eastAsia" w:ascii="仿宋_GB2312" w:hAnsi="仿宋_GB2312" w:eastAsia="仿宋_GB2312" w:cs="仿宋_GB2312"/>
          <w:b/>
          <w:bCs/>
          <w:sz w:val="32"/>
          <w:szCs w:val="32"/>
          <w:lang w:val="en-US" w:eastAsia="zh-CN"/>
        </w:rPr>
        <w:t xml:space="preserve">5.1 </w:t>
      </w:r>
      <w:r>
        <w:rPr>
          <w:rFonts w:hint="eastAsia" w:ascii="仿宋_GB2312" w:hAnsi="仿宋_GB2312" w:eastAsia="仿宋_GB2312" w:cs="仿宋_GB2312"/>
          <w:b/>
          <w:bCs/>
          <w:sz w:val="32"/>
          <w:szCs w:val="32"/>
        </w:rPr>
        <w:t>新增员工</w:t>
      </w:r>
      <w:bookmarkEnd w:id="14"/>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评估机构在“员工管理-员工基本信息”点“新增”，录入员工姓名、证件号码、学历、部门等信息后点“提交”，完成新增员工操作。</w:t>
      </w:r>
    </w:p>
    <w:p>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269230" cy="2899410"/>
            <wp:effectExtent l="0" t="0" r="381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9230" cy="2899410"/>
                    </a:xfrm>
                    <a:prstGeom prst="rect">
                      <a:avLst/>
                    </a:prstGeom>
                    <a:noFill/>
                    <a:ln>
                      <a:noFill/>
                    </a:ln>
                  </pic:spPr>
                </pic:pic>
              </a:graphicData>
            </a:graphic>
          </wp:inline>
        </w:drawing>
      </w:r>
    </w:p>
    <w:p>
      <w:pPr>
        <w:pStyle w:val="4"/>
        <w:pageBreakBefore w:val="0"/>
        <w:widowControl w:val="0"/>
        <w:numPr>
          <w:ilvl w:val="0"/>
          <w:numId w:val="0"/>
        </w:numPr>
        <w:kinsoku/>
        <w:wordWrap/>
        <w:overflowPunct/>
        <w:topLinePunct w:val="0"/>
        <w:autoSpaceDE/>
        <w:autoSpaceDN/>
        <w:bidi w:val="0"/>
        <w:snapToGrid/>
        <w:spacing w:before="0" w:line="540" w:lineRule="exact"/>
        <w:ind w:leftChars="0" w:firstLine="642" w:firstLineChars="200"/>
        <w:textAlignment w:val="auto"/>
        <w:rPr>
          <w:rFonts w:hint="eastAsia" w:ascii="仿宋_GB2312" w:hAnsi="仿宋_GB2312" w:eastAsia="仿宋_GB2312" w:cs="仿宋_GB2312"/>
          <w:b/>
          <w:bCs/>
          <w:kern w:val="2"/>
          <w:sz w:val="32"/>
          <w:szCs w:val="32"/>
          <w:lang w:val="en-US" w:eastAsia="zh-CN" w:bidi="ar-SA"/>
        </w:rPr>
      </w:pPr>
      <w:bookmarkStart w:id="15" w:name="_Toc1890288530"/>
      <w:r>
        <w:rPr>
          <w:rFonts w:hint="eastAsia" w:ascii="仿宋_GB2312" w:hAnsi="仿宋_GB2312" w:eastAsia="仿宋_GB2312" w:cs="仿宋_GB2312"/>
          <w:b/>
          <w:bCs/>
          <w:kern w:val="2"/>
          <w:sz w:val="32"/>
          <w:szCs w:val="32"/>
          <w:lang w:val="en-US" w:eastAsia="zh-CN" w:bidi="ar-SA"/>
        </w:rPr>
        <w:t>5.2 分配权限</w:t>
      </w:r>
      <w:bookmarkEnd w:id="15"/>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评估机构在“员工管理-机构员工账号管理”员工账号启用后，可为员工账号分配权限，第三方评估机构员工账号权限配置为：能力评估人员。新增账号后，用户名密码会以邮件形式发送到员工邮箱。注意：部分员工分配账号后在“民政政务”中无法查看到菜单权限，请到机构员工账号管理点击“账号权限”添加该员工权限。</w:t>
      </w:r>
    </w:p>
    <w:p>
      <w:pPr>
        <w:spacing w:line="240" w:lineRule="auto"/>
        <w:ind w:left="0" w:leftChars="0" w:firstLine="0" w:firstLineChars="0"/>
        <w:jc w:val="center"/>
      </w:pPr>
      <w:r>
        <w:drawing>
          <wp:inline distT="0" distB="0" distL="114300" distR="114300">
            <wp:extent cx="5269230" cy="2899410"/>
            <wp:effectExtent l="0" t="0" r="381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9230" cy="2899410"/>
                    </a:xfrm>
                    <a:prstGeom prst="rect">
                      <a:avLst/>
                    </a:prstGeom>
                    <a:noFill/>
                    <a:ln>
                      <a:noFill/>
                    </a:ln>
                  </pic:spPr>
                </pic:pic>
              </a:graphicData>
            </a:graphic>
          </wp:inline>
        </w:drawing>
      </w:r>
    </w:p>
    <w:p>
      <w:pPr>
        <w:pStyle w:val="4"/>
        <w:numPr>
          <w:ilvl w:val="0"/>
          <w:numId w:val="0"/>
        </w:numPr>
        <w:tabs>
          <w:tab w:val="left" w:pos="0"/>
          <w:tab w:val="left" w:pos="312"/>
        </w:tabs>
        <w:bidi w:val="0"/>
        <w:ind w:firstLine="642" w:firstLineChars="200"/>
        <w:rPr>
          <w:rFonts w:hint="default" w:ascii="仿宋_GB2312" w:hAnsi="仿宋_GB2312" w:eastAsia="仿宋_GB2312" w:cs="仿宋_GB2312"/>
          <w:b/>
          <w:bCs/>
          <w:kern w:val="2"/>
          <w:sz w:val="32"/>
          <w:szCs w:val="32"/>
          <w:lang w:val="en-US" w:eastAsia="zh-CN" w:bidi="ar-SA"/>
        </w:rPr>
      </w:pPr>
      <w:bookmarkStart w:id="16" w:name="_Toc1759537161"/>
      <w:r>
        <w:rPr>
          <w:rFonts w:hint="eastAsia" w:ascii="仿宋_GB2312" w:hAnsi="仿宋_GB2312" w:eastAsia="仿宋_GB2312" w:cs="仿宋_GB2312"/>
          <w:b/>
          <w:bCs/>
          <w:kern w:val="2"/>
          <w:sz w:val="32"/>
          <w:szCs w:val="32"/>
          <w:lang w:val="en-US" w:eastAsia="zh-CN" w:bidi="ar-SA"/>
        </w:rPr>
        <w:t xml:space="preserve">5.3 </w:t>
      </w:r>
      <w:r>
        <w:rPr>
          <w:rFonts w:hint="default" w:ascii="仿宋_GB2312" w:hAnsi="仿宋_GB2312" w:eastAsia="仿宋_GB2312" w:cs="仿宋_GB2312"/>
          <w:b/>
          <w:bCs/>
          <w:kern w:val="2"/>
          <w:sz w:val="32"/>
          <w:szCs w:val="32"/>
          <w:lang w:val="en-US" w:eastAsia="zh-CN" w:bidi="ar-SA"/>
        </w:rPr>
        <w:t>确认预约信息</w:t>
      </w:r>
      <w:bookmarkEnd w:id="16"/>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老年人或代办人提交评估申请后，评估机构可在“服务管理-预约信息管理”中进行确认，可根据预约的联系电话联系，约定评估时间和评估方式，确认后点击“回复确认”</w:t>
      </w:r>
    </w:p>
    <w:p>
      <w:pPr>
        <w:spacing w:line="240" w:lineRule="auto"/>
        <w:ind w:left="0" w:leftChars="0" w:firstLine="0" w:firstLineChars="0"/>
        <w:jc w:val="center"/>
      </w:pPr>
      <w:r>
        <w:drawing>
          <wp:inline distT="0" distB="0" distL="114300" distR="114300">
            <wp:extent cx="5066665" cy="2787650"/>
            <wp:effectExtent l="0" t="0" r="635" b="1270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tretch>
                      <a:fillRect/>
                    </a:stretch>
                  </pic:blipFill>
                  <pic:spPr>
                    <a:xfrm>
                      <a:off x="0" y="0"/>
                      <a:ext cx="5066665" cy="2787650"/>
                    </a:xfrm>
                    <a:prstGeom prst="rect">
                      <a:avLst/>
                    </a:prstGeom>
                    <a:noFill/>
                    <a:ln>
                      <a:noFill/>
                    </a:ln>
                  </pic:spPr>
                </pic:pic>
              </a:graphicData>
            </a:graphic>
          </wp:inline>
        </w:drawing>
      </w:r>
    </w:p>
    <w:p>
      <w:pPr>
        <w:spacing w:line="240" w:lineRule="auto"/>
        <w:jc w:val="center"/>
      </w:pPr>
      <w:r>
        <w:drawing>
          <wp:inline distT="0" distB="0" distL="114300" distR="114300">
            <wp:extent cx="4080510" cy="4206240"/>
            <wp:effectExtent l="0" t="0" r="15240" b="38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1"/>
                    <a:stretch>
                      <a:fillRect/>
                    </a:stretch>
                  </pic:blipFill>
                  <pic:spPr>
                    <a:xfrm>
                      <a:off x="0" y="0"/>
                      <a:ext cx="4080510" cy="4206240"/>
                    </a:xfrm>
                    <a:prstGeom prst="rect">
                      <a:avLst/>
                    </a:prstGeom>
                    <a:noFill/>
                    <a:ln>
                      <a:noFill/>
                    </a:ln>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eastAsia" w:ascii="仿宋_GB2312" w:hAnsi="仿宋_GB2312" w:eastAsia="仿宋_GB2312" w:cs="仿宋_GB2312"/>
          <w:b/>
          <w:bCs/>
          <w:sz w:val="32"/>
          <w:szCs w:val="32"/>
          <w:lang w:val="en-US" w:eastAsia="zh-CN"/>
        </w:rPr>
      </w:pPr>
      <w:bookmarkStart w:id="17" w:name="_Toc1438704736"/>
      <w:r>
        <w:rPr>
          <w:rFonts w:hint="eastAsia" w:ascii="仿宋_GB2312" w:hAnsi="仿宋_GB2312" w:eastAsia="仿宋_GB2312" w:cs="仿宋_GB2312"/>
          <w:b/>
          <w:bCs/>
          <w:sz w:val="32"/>
          <w:szCs w:val="32"/>
          <w:lang w:val="en-US" w:eastAsia="zh-CN"/>
        </w:rPr>
        <w:t>6.分配评估人员</w:t>
      </w:r>
      <w:bookmarkEnd w:id="17"/>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机构完成预约信息确认后，在“服务管理-老年人能力评估-能力评估信息申请”中分派评估人员。</w:t>
      </w:r>
    </w:p>
    <w:p>
      <w:pPr>
        <w:numPr>
          <w:ilvl w:val="0"/>
          <w:numId w:val="0"/>
        </w:numPr>
        <w:spacing w:line="240" w:lineRule="auto"/>
        <w:jc w:val="center"/>
      </w:pPr>
      <w:r>
        <w:drawing>
          <wp:inline distT="0" distB="0" distL="114300" distR="114300">
            <wp:extent cx="4814570" cy="2499995"/>
            <wp:effectExtent l="0" t="0" r="5080" b="146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4814570" cy="2499995"/>
                    </a:xfrm>
                    <a:prstGeom prst="rect">
                      <a:avLst/>
                    </a:prstGeom>
                    <a:noFill/>
                    <a:ln>
                      <a:noFill/>
                    </a:ln>
                  </pic:spPr>
                </pic:pic>
              </a:graphicData>
            </a:graphic>
          </wp:inline>
        </w:drawing>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任务分派需选择评估方式，并添加主评估人员、辅评估人员共两名评估人员。</w:t>
      </w:r>
    </w:p>
    <w:p>
      <w:pPr>
        <w:numPr>
          <w:ilvl w:val="0"/>
          <w:numId w:val="0"/>
        </w:numPr>
        <w:spacing w:line="240" w:lineRule="auto"/>
        <w:jc w:val="center"/>
        <w:rPr>
          <w:rFonts w:hint="default"/>
          <w:lang w:val="en-US" w:eastAsia="zh-CN"/>
        </w:rPr>
      </w:pPr>
      <w:r>
        <w:drawing>
          <wp:inline distT="0" distB="0" distL="114300" distR="114300">
            <wp:extent cx="3627120" cy="4387215"/>
            <wp:effectExtent l="0" t="0" r="11430" b="1333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3"/>
                    <a:stretch>
                      <a:fillRect/>
                    </a:stretch>
                  </pic:blipFill>
                  <pic:spPr>
                    <a:xfrm>
                      <a:off x="0" y="0"/>
                      <a:ext cx="3627120" cy="4387215"/>
                    </a:xfrm>
                    <a:prstGeom prst="rect">
                      <a:avLst/>
                    </a:prstGeom>
                    <a:noFill/>
                    <a:ln>
                      <a:noFill/>
                    </a:ln>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20" w:lineRule="exact"/>
        <w:ind w:firstLine="642" w:firstLineChars="200"/>
        <w:textAlignment w:val="auto"/>
        <w:rPr>
          <w:rFonts w:hint="default" w:ascii="仿宋_GB2312" w:hAnsi="仿宋_GB2312" w:eastAsia="仿宋_GB2312" w:cs="仿宋_GB2312"/>
          <w:b/>
          <w:bCs/>
          <w:sz w:val="32"/>
          <w:szCs w:val="32"/>
          <w:lang w:val="en-US" w:eastAsia="zh-CN"/>
        </w:rPr>
      </w:pPr>
      <w:bookmarkStart w:id="18" w:name="_Toc928381905"/>
      <w:r>
        <w:rPr>
          <w:rFonts w:hint="eastAsia" w:ascii="仿宋_GB2312" w:hAnsi="仿宋_GB2312" w:eastAsia="仿宋_GB2312" w:cs="仿宋_GB2312"/>
          <w:b/>
          <w:bCs/>
          <w:sz w:val="32"/>
          <w:szCs w:val="32"/>
          <w:lang w:val="en-US" w:eastAsia="zh-CN"/>
        </w:rPr>
        <w:t>7.在</w:t>
      </w:r>
      <w:r>
        <w:rPr>
          <w:rFonts w:hint="default" w:ascii="仿宋_GB2312" w:hAnsi="仿宋_GB2312" w:eastAsia="仿宋_GB2312" w:cs="仿宋_GB2312"/>
          <w:b/>
          <w:bCs/>
          <w:sz w:val="32"/>
          <w:szCs w:val="32"/>
          <w:lang w:val="en-US" w:eastAsia="zh-CN"/>
        </w:rPr>
        <w:t>“民政政务”</w:t>
      </w:r>
      <w:r>
        <w:rPr>
          <w:rFonts w:hint="eastAsia" w:ascii="仿宋_GB2312" w:hAnsi="仿宋_GB2312" w:eastAsia="仿宋_GB2312" w:cs="仿宋_GB2312"/>
          <w:b/>
          <w:bCs/>
          <w:sz w:val="32"/>
          <w:szCs w:val="32"/>
          <w:lang w:val="en-US" w:eastAsia="zh-CN"/>
        </w:rPr>
        <w:t>上</w:t>
      </w:r>
      <w:r>
        <w:rPr>
          <w:rFonts w:hint="default" w:ascii="仿宋_GB2312" w:hAnsi="仿宋_GB2312" w:eastAsia="仿宋_GB2312" w:cs="仿宋_GB2312"/>
          <w:b/>
          <w:bCs/>
          <w:sz w:val="32"/>
          <w:szCs w:val="32"/>
          <w:lang w:val="en-US" w:eastAsia="zh-CN"/>
        </w:rPr>
        <w:t>录入评估过程</w:t>
      </w:r>
      <w:bookmarkEnd w:id="18"/>
    </w:p>
    <w:p>
      <w:pPr>
        <w:pageBreakBefore w:val="0"/>
        <w:widowControl w:val="0"/>
        <w:kinsoku/>
        <w:wordWrap/>
        <w:overflowPunct/>
        <w:topLinePunct w:val="0"/>
        <w:autoSpaceDE/>
        <w:autoSpaceDN/>
        <w:bidi w:val="0"/>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评估任务分派至主评估人员，登录“民政政务”小程序即可查看。</w:t>
      </w:r>
    </w:p>
    <w:p>
      <w:pPr>
        <w:spacing w:line="240" w:lineRule="auto"/>
        <w:ind w:left="0" w:leftChars="0" w:firstLine="0" w:firstLineChars="0"/>
        <w:jc w:val="center"/>
      </w:pPr>
      <w:r>
        <w:drawing>
          <wp:inline distT="0" distB="0" distL="114300" distR="114300">
            <wp:extent cx="2446020" cy="2446020"/>
            <wp:effectExtent l="0" t="0" r="11430" b="1143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a:picLocks noChangeAspect="1"/>
                    </pic:cNvPicPr>
                  </pic:nvPicPr>
                  <pic:blipFill>
                    <a:blip r:embed="rId24"/>
                    <a:stretch>
                      <a:fillRect/>
                    </a:stretch>
                  </pic:blipFill>
                  <pic:spPr>
                    <a:xfrm rot="21600000">
                      <a:off x="0" y="0"/>
                      <a:ext cx="2446020" cy="2446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评估人员登录小程序账号，选择服务分类-能力评估菜单。进入能力评估答题列表，点击“开始评估”按钮，进入评估环节。根据小程序提示，完成自理能力评估、基础运动能力评估、精神状态评估、感知觉与社会参与评估答题，提交后根据所得分数，系统根据得分情况自动判断老年人能力等级。服务步骤如下：</w:t>
      </w:r>
    </w:p>
    <w:p>
      <w:pPr>
        <w:spacing w:line="240" w:lineRule="auto"/>
        <w:ind w:left="0" w:leftChars="0" w:firstLine="0" w:firstLineChars="0"/>
        <w:jc w:val="center"/>
      </w:pPr>
      <w:r>
        <w:drawing>
          <wp:inline distT="0" distB="0" distL="114300" distR="114300">
            <wp:extent cx="1568450" cy="3179445"/>
            <wp:effectExtent l="0" t="0" r="12700" b="190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picture 1588"/>
                    <pic:cNvPicPr>
                      <a:picLocks noChangeAspect="1"/>
                    </pic:cNvPicPr>
                  </pic:nvPicPr>
                  <pic:blipFill>
                    <a:blip r:embed="rId25"/>
                    <a:stretch>
                      <a:fillRect/>
                    </a:stretch>
                  </pic:blipFill>
                  <pic:spPr>
                    <a:xfrm rot="21600000">
                      <a:off x="0" y="0"/>
                      <a:ext cx="1568450" cy="3179445"/>
                    </a:xfrm>
                    <a:prstGeom prst="rect">
                      <a:avLst/>
                    </a:prstGeom>
                  </pic:spPr>
                </pic:pic>
              </a:graphicData>
            </a:graphic>
          </wp:inline>
        </w:drawing>
      </w:r>
      <w:r>
        <w:drawing>
          <wp:inline distT="0" distB="0" distL="114300" distR="114300">
            <wp:extent cx="1584325" cy="3167380"/>
            <wp:effectExtent l="0" t="0" r="15875" b="139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picture 1590"/>
                    <pic:cNvPicPr>
                      <a:picLocks noChangeAspect="1"/>
                    </pic:cNvPicPr>
                  </pic:nvPicPr>
                  <pic:blipFill>
                    <a:blip r:embed="rId26"/>
                    <a:stretch>
                      <a:fillRect/>
                    </a:stretch>
                  </pic:blipFill>
                  <pic:spPr>
                    <a:xfrm rot="21600000">
                      <a:off x="0" y="0"/>
                      <a:ext cx="1584325" cy="3167380"/>
                    </a:xfrm>
                    <a:prstGeom prst="rect">
                      <a:avLst/>
                    </a:prstGeom>
                  </pic:spPr>
                </pic:pic>
              </a:graphicData>
            </a:graphic>
          </wp:inline>
        </w:drawing>
      </w:r>
      <w:r>
        <w:drawing>
          <wp:inline distT="0" distB="0" distL="114300" distR="114300">
            <wp:extent cx="1609090" cy="3157220"/>
            <wp:effectExtent l="0" t="0" r="10160" b="508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1586"/>
                    <pic:cNvPicPr>
                      <a:picLocks noChangeAspect="1"/>
                    </pic:cNvPicPr>
                  </pic:nvPicPr>
                  <pic:blipFill>
                    <a:blip r:embed="rId27"/>
                    <a:stretch>
                      <a:fillRect/>
                    </a:stretch>
                  </pic:blipFill>
                  <pic:spPr>
                    <a:xfrm rot="21600000">
                      <a:off x="0" y="0"/>
                      <a:ext cx="1609090" cy="3157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pPr>
      <w:r>
        <w:drawing>
          <wp:inline distT="0" distB="0" distL="114300" distR="114300">
            <wp:extent cx="1752600" cy="3423920"/>
            <wp:effectExtent l="0" t="0" r="0" b="508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1592"/>
                    <pic:cNvPicPr>
                      <a:picLocks noChangeAspect="1"/>
                    </pic:cNvPicPr>
                  </pic:nvPicPr>
                  <pic:blipFill>
                    <a:blip r:embed="rId28"/>
                    <a:stretch>
                      <a:fillRect/>
                    </a:stretch>
                  </pic:blipFill>
                  <pic:spPr>
                    <a:xfrm rot="21600000">
                      <a:off x="0" y="0"/>
                      <a:ext cx="1752600" cy="3423920"/>
                    </a:xfrm>
                    <a:prstGeom prst="rect">
                      <a:avLst/>
                    </a:prstGeom>
                  </pic:spPr>
                </pic:pic>
              </a:graphicData>
            </a:graphic>
          </wp:inline>
        </w:drawing>
      </w:r>
      <w:r>
        <w:drawing>
          <wp:inline distT="0" distB="0" distL="114300" distR="114300">
            <wp:extent cx="1738630" cy="3411220"/>
            <wp:effectExtent l="0" t="0" r="13970" b="1778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picture 1608"/>
                    <pic:cNvPicPr>
                      <a:picLocks noChangeAspect="1"/>
                    </pic:cNvPicPr>
                  </pic:nvPicPr>
                  <pic:blipFill>
                    <a:blip r:embed="rId29"/>
                    <a:stretch>
                      <a:fillRect/>
                    </a:stretch>
                  </pic:blipFill>
                  <pic:spPr>
                    <a:xfrm rot="21600000">
                      <a:off x="0" y="0"/>
                      <a:ext cx="1738630" cy="3411220"/>
                    </a:xfrm>
                    <a:prstGeom prst="rect">
                      <a:avLst/>
                    </a:prstGeom>
                  </pic:spPr>
                </pic:pic>
              </a:graphicData>
            </a:graphic>
          </wp:inline>
        </w:drawing>
      </w:r>
      <w:r>
        <w:drawing>
          <wp:inline distT="0" distB="0" distL="114300" distR="114300">
            <wp:extent cx="1751330" cy="3411220"/>
            <wp:effectExtent l="0" t="0" r="1270" b="1778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picture 1612"/>
                    <pic:cNvPicPr>
                      <a:picLocks noChangeAspect="1"/>
                    </pic:cNvPicPr>
                  </pic:nvPicPr>
                  <pic:blipFill>
                    <a:blip r:embed="rId30"/>
                    <a:stretch>
                      <a:fillRect/>
                    </a:stretch>
                  </pic:blipFill>
                  <pic:spPr>
                    <a:xfrm rot="21600000">
                      <a:off x="0" y="0"/>
                      <a:ext cx="1751330" cy="3411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628775" cy="3230880"/>
            <wp:effectExtent l="0" t="0" r="9525" b="762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picture 1610"/>
                    <pic:cNvPicPr>
                      <a:picLocks noChangeAspect="1"/>
                    </pic:cNvPicPr>
                  </pic:nvPicPr>
                  <pic:blipFill>
                    <a:blip r:embed="rId31"/>
                    <a:stretch>
                      <a:fillRect/>
                    </a:stretch>
                  </pic:blipFill>
                  <pic:spPr>
                    <a:xfrm rot="21600000">
                      <a:off x="0" y="0"/>
                      <a:ext cx="1628775" cy="3230880"/>
                    </a:xfrm>
                    <a:prstGeom prst="rect">
                      <a:avLst/>
                    </a:prstGeom>
                  </pic:spPr>
                </pic:pic>
              </a:graphicData>
            </a:graphic>
          </wp:inline>
        </w:drawing>
      </w:r>
      <w:r>
        <w:drawing>
          <wp:inline distT="0" distB="0" distL="114300" distR="114300">
            <wp:extent cx="1859915" cy="3205480"/>
            <wp:effectExtent l="0" t="0" r="6985" b="139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picture 1606"/>
                    <pic:cNvPicPr>
                      <a:picLocks noChangeAspect="1"/>
                    </pic:cNvPicPr>
                  </pic:nvPicPr>
                  <pic:blipFill>
                    <a:blip r:embed="rId32"/>
                    <a:stretch>
                      <a:fillRect/>
                    </a:stretch>
                  </pic:blipFill>
                  <pic:spPr>
                    <a:xfrm rot="21600000">
                      <a:off x="0" y="0"/>
                      <a:ext cx="1859915" cy="3205480"/>
                    </a:xfrm>
                    <a:prstGeom prst="rect">
                      <a:avLst/>
                    </a:prstGeom>
                  </pic:spPr>
                </pic:pic>
              </a:graphicData>
            </a:graphic>
          </wp:inline>
        </w:drawing>
      </w:r>
      <w:r>
        <w:drawing>
          <wp:inline distT="0" distB="0" distL="114300" distR="114300">
            <wp:extent cx="1649730" cy="3194050"/>
            <wp:effectExtent l="0" t="0" r="7620" b="635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picture 1630"/>
                    <pic:cNvPicPr>
                      <a:picLocks noChangeAspect="1"/>
                    </pic:cNvPicPr>
                  </pic:nvPicPr>
                  <pic:blipFill>
                    <a:blip r:embed="rId33"/>
                    <a:stretch>
                      <a:fillRect/>
                    </a:stretch>
                  </pic:blipFill>
                  <pic:spPr>
                    <a:xfrm rot="21600000">
                      <a:off x="0" y="0"/>
                      <a:ext cx="1649730" cy="3194050"/>
                    </a:xfrm>
                    <a:prstGeom prst="rect">
                      <a:avLst/>
                    </a:prstGeom>
                  </pic:spPr>
                </pic:pic>
              </a:graphicData>
            </a:graphic>
          </wp:inline>
        </w:drawing>
      </w:r>
      <w:r>
        <w:drawing>
          <wp:inline distT="0" distB="0" distL="114300" distR="114300">
            <wp:extent cx="1764030" cy="3237865"/>
            <wp:effectExtent l="0" t="0" r="7620" b="63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picture 1626"/>
                    <pic:cNvPicPr>
                      <a:picLocks noChangeAspect="1"/>
                    </pic:cNvPicPr>
                  </pic:nvPicPr>
                  <pic:blipFill>
                    <a:blip r:embed="rId34"/>
                    <a:stretch>
                      <a:fillRect/>
                    </a:stretch>
                  </pic:blipFill>
                  <pic:spPr>
                    <a:xfrm rot="21600000">
                      <a:off x="0" y="0"/>
                      <a:ext cx="1764030" cy="3237865"/>
                    </a:xfrm>
                    <a:prstGeom prst="rect">
                      <a:avLst/>
                    </a:prstGeom>
                  </pic:spPr>
                </pic:pic>
              </a:graphicData>
            </a:graphic>
          </wp:inline>
        </w:drawing>
      </w:r>
      <w:r>
        <w:drawing>
          <wp:inline distT="0" distB="0" distL="114300" distR="114300">
            <wp:extent cx="1677670" cy="3239770"/>
            <wp:effectExtent l="0" t="0" r="17780" b="1778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picture 1628"/>
                    <pic:cNvPicPr>
                      <a:picLocks noChangeAspect="1"/>
                    </pic:cNvPicPr>
                  </pic:nvPicPr>
                  <pic:blipFill>
                    <a:blip r:embed="rId35"/>
                    <a:stretch>
                      <a:fillRect/>
                    </a:stretch>
                  </pic:blipFill>
                  <pic:spPr>
                    <a:xfrm rot="21600000">
                      <a:off x="0" y="0"/>
                      <a:ext cx="1677670" cy="3239770"/>
                    </a:xfrm>
                    <a:prstGeom prst="rect">
                      <a:avLst/>
                    </a:prstGeom>
                  </pic:spPr>
                </pic:pic>
              </a:graphicData>
            </a:graphic>
          </wp:inline>
        </w:drawing>
      </w:r>
      <w:r>
        <w:drawing>
          <wp:inline distT="0" distB="0" distL="114300" distR="114300">
            <wp:extent cx="1615440" cy="3259455"/>
            <wp:effectExtent l="0" t="0" r="3810" b="1714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picture 1632"/>
                    <pic:cNvPicPr>
                      <a:picLocks noChangeAspect="1"/>
                    </pic:cNvPicPr>
                  </pic:nvPicPr>
                  <pic:blipFill>
                    <a:blip r:embed="rId36"/>
                    <a:stretch>
                      <a:fillRect/>
                    </a:stretch>
                  </pic:blipFill>
                  <pic:spPr>
                    <a:xfrm rot="21600000">
                      <a:off x="0" y="0"/>
                      <a:ext cx="1615440" cy="3259455"/>
                    </a:xfrm>
                    <a:prstGeom prst="rect">
                      <a:avLst/>
                    </a:prstGeom>
                  </pic:spPr>
                </pic:pic>
              </a:graphicData>
            </a:graphic>
          </wp:inline>
        </w:drawing>
      </w:r>
      <w:r>
        <w:drawing>
          <wp:inline distT="0" distB="0" distL="114300" distR="114300">
            <wp:extent cx="1783080" cy="3360420"/>
            <wp:effectExtent l="0" t="0" r="7620" b="1143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picture 1652"/>
                    <pic:cNvPicPr>
                      <a:picLocks noChangeAspect="1"/>
                    </pic:cNvPicPr>
                  </pic:nvPicPr>
                  <pic:blipFill>
                    <a:blip r:embed="rId37"/>
                    <a:stretch>
                      <a:fillRect/>
                    </a:stretch>
                  </pic:blipFill>
                  <pic:spPr>
                    <a:xfrm rot="21600000">
                      <a:off x="0" y="0"/>
                      <a:ext cx="1783080" cy="3360420"/>
                    </a:xfrm>
                    <a:prstGeom prst="rect">
                      <a:avLst/>
                    </a:prstGeom>
                  </pic:spPr>
                </pic:pic>
              </a:graphicData>
            </a:graphic>
          </wp:inline>
        </w:drawing>
      </w:r>
      <w:r>
        <w:drawing>
          <wp:inline distT="0" distB="0" distL="114300" distR="114300">
            <wp:extent cx="1788160" cy="3341370"/>
            <wp:effectExtent l="0" t="0" r="2540" b="1143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picture 1650"/>
                    <pic:cNvPicPr>
                      <a:picLocks noChangeAspect="1"/>
                    </pic:cNvPicPr>
                  </pic:nvPicPr>
                  <pic:blipFill>
                    <a:blip r:embed="rId38"/>
                    <a:stretch>
                      <a:fillRect/>
                    </a:stretch>
                  </pic:blipFill>
                  <pic:spPr>
                    <a:xfrm rot="21600000">
                      <a:off x="0" y="0"/>
                      <a:ext cx="1788160" cy="3341370"/>
                    </a:xfrm>
                    <a:prstGeom prst="rect">
                      <a:avLst/>
                    </a:prstGeom>
                  </pic:spPr>
                </pic:pic>
              </a:graphicData>
            </a:graphic>
          </wp:inline>
        </w:drawing>
      </w:r>
      <w:r>
        <w:drawing>
          <wp:inline distT="0" distB="0" distL="114300" distR="114300">
            <wp:extent cx="1659255" cy="3128645"/>
            <wp:effectExtent l="0" t="0" r="17145" b="146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picture 1654"/>
                    <pic:cNvPicPr>
                      <a:picLocks noChangeAspect="1"/>
                    </pic:cNvPicPr>
                  </pic:nvPicPr>
                  <pic:blipFill>
                    <a:blip r:embed="rId39"/>
                    <a:stretch>
                      <a:fillRect/>
                    </a:stretch>
                  </pic:blipFill>
                  <pic:spPr>
                    <a:xfrm rot="21600000">
                      <a:off x="0" y="0"/>
                      <a:ext cx="1659255" cy="3128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评估完成后，进入支付流程。选择现金、微信、云闪付、支付宝等线上支付方式支付，扫码支付，完成评估。</w:t>
      </w:r>
    </w:p>
    <w:p>
      <w:pPr>
        <w:ind w:left="-1120" w:leftChars="-400" w:firstLine="0" w:firstLineChars="0"/>
      </w:pPr>
    </w:p>
    <w:p>
      <w:pPr>
        <w:pStyle w:val="11"/>
        <w:spacing w:line="240" w:lineRule="auto"/>
        <w:ind w:left="0" w:leftChars="0" w:firstLine="0" w:firstLineChars="0"/>
        <w:jc w:val="right"/>
      </w:pPr>
      <w:r>
        <w:drawing>
          <wp:inline distT="0" distB="0" distL="114300" distR="114300">
            <wp:extent cx="1730375" cy="338963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picture 1690"/>
                    <pic:cNvPicPr>
                      <a:picLocks noChangeAspect="1"/>
                    </pic:cNvPicPr>
                  </pic:nvPicPr>
                  <pic:blipFill>
                    <a:blip r:embed="rId40"/>
                    <a:stretch>
                      <a:fillRect/>
                    </a:stretch>
                  </pic:blipFill>
                  <pic:spPr>
                    <a:xfrm rot="21600000">
                      <a:off x="0" y="0"/>
                      <a:ext cx="1730375" cy="3389630"/>
                    </a:xfrm>
                    <a:prstGeom prst="rect">
                      <a:avLst/>
                    </a:prstGeom>
                  </pic:spPr>
                </pic:pic>
              </a:graphicData>
            </a:graphic>
          </wp:inline>
        </w:drawing>
      </w:r>
      <w:r>
        <w:drawing>
          <wp:inline distT="0" distB="0" distL="114300" distR="114300">
            <wp:extent cx="1743075" cy="3390265"/>
            <wp:effectExtent l="0" t="0" r="9525" b="63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picture 1696"/>
                    <pic:cNvPicPr>
                      <a:picLocks noChangeAspect="1"/>
                    </pic:cNvPicPr>
                  </pic:nvPicPr>
                  <pic:blipFill>
                    <a:blip r:embed="rId41"/>
                    <a:stretch>
                      <a:fillRect/>
                    </a:stretch>
                  </pic:blipFill>
                  <pic:spPr>
                    <a:xfrm rot="21600000">
                      <a:off x="0" y="0"/>
                      <a:ext cx="1743075" cy="3390265"/>
                    </a:xfrm>
                    <a:prstGeom prst="rect">
                      <a:avLst/>
                    </a:prstGeom>
                  </pic:spPr>
                </pic:pic>
              </a:graphicData>
            </a:graphic>
          </wp:inline>
        </w:drawing>
      </w:r>
      <w:r>
        <w:drawing>
          <wp:inline distT="0" distB="0" distL="114300" distR="114300">
            <wp:extent cx="1755775" cy="3423920"/>
            <wp:effectExtent l="0" t="0" r="15875" b="508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picture 1692"/>
                    <pic:cNvPicPr>
                      <a:picLocks noChangeAspect="1"/>
                    </pic:cNvPicPr>
                  </pic:nvPicPr>
                  <pic:blipFill>
                    <a:blip r:embed="rId42"/>
                    <a:stretch>
                      <a:fillRect/>
                    </a:stretch>
                  </pic:blipFill>
                  <pic:spPr>
                    <a:xfrm rot="21600000">
                      <a:off x="0" y="0"/>
                      <a:ext cx="1755775" cy="3423920"/>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snapToGrid/>
        <w:spacing w:before="0" w:after="0" w:afterLines="0" w:line="540" w:lineRule="exact"/>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注意：</w:t>
      </w:r>
    </w:p>
    <w:p>
      <w:pPr>
        <w:keepNext w:val="0"/>
        <w:keepLines w:val="0"/>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1.老年人评估过程比较长，会出现未完成评估，系统无法往下的情况，需要对老年人重新评估一次。</w:t>
      </w:r>
    </w:p>
    <w:p>
      <w:pPr>
        <w:keepNext w:val="0"/>
        <w:keepLines w:val="0"/>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2.如老年人评估信息已提交，没有支付按钮，可到“能力等级评估查询”里“发起支付”，打印缴费清单，提供给老人或代办人签字后拍照上传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ascii="微软雅黑" w:hAnsi="微软雅黑" w:eastAsia="微软雅黑" w:cs="微软雅黑"/>
          <w:i w:val="0"/>
          <w:iCs w:val="0"/>
          <w:caps w:val="0"/>
          <w:color w:val="000000"/>
          <w:spacing w:val="0"/>
          <w:sz w:val="16"/>
          <w:szCs w:val="16"/>
          <w:shd w:val="clear" w:fill="FFFFFF"/>
        </w:rPr>
      </w:pPr>
      <w:r>
        <w:rPr>
          <w:rFonts w:ascii="微软雅黑" w:hAnsi="微软雅黑" w:eastAsia="微软雅黑" w:cs="微软雅黑"/>
          <w:i w:val="0"/>
          <w:iCs w:val="0"/>
          <w:caps w:val="0"/>
          <w:color w:val="000000"/>
          <w:spacing w:val="0"/>
          <w:sz w:val="16"/>
          <w:szCs w:val="16"/>
          <w:shd w:val="clear" w:fill="FFFFFF"/>
        </w:rPr>
        <w:drawing>
          <wp:inline distT="0" distB="0" distL="114300" distR="114300">
            <wp:extent cx="5267325" cy="2893695"/>
            <wp:effectExtent l="0" t="0" r="5715" b="1905"/>
            <wp:docPr id="21" name="图片 21" descr="0e8658a77b13be6855d3354f93ab1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e8658a77b13be6855d3354f93ab1b27"/>
                    <pic:cNvPicPr>
                      <a:picLocks noChangeAspect="1"/>
                    </pic:cNvPicPr>
                  </pic:nvPicPr>
                  <pic:blipFill>
                    <a:blip r:embed="rId43"/>
                    <a:stretch>
                      <a:fillRect/>
                    </a:stretch>
                  </pic:blipFill>
                  <pic:spPr>
                    <a:xfrm>
                      <a:off x="0" y="0"/>
                      <a:ext cx="5267325" cy="28936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3.如出现评估记录已完成，但缺少录音或照片信息情况，可在垫付资金核销生成的时候可以上传到特殊情况说明里面。</w:t>
      </w:r>
    </w:p>
    <w:p>
      <w:pPr>
        <w:keepNext w:val="0"/>
        <w:keepLines w:val="0"/>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4.评估结束后，如发现评估过程有内容填写错误，由评估机构管理员登录账号，选择服务管理-老年人能力评估-能力评定等级查询菜单。查看评估记录列表。点击更多-即时评估、复评，可对老年人再次评估，发起后主评估员在“民政政务”上重走流程评估。</w:t>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default" w:ascii="仿宋_GB2312" w:hAnsi="仿宋_GB2312" w:eastAsia="仿宋_GB2312" w:cs="仿宋_GB2312"/>
          <w:b/>
          <w:bCs/>
          <w:kern w:val="2"/>
          <w:sz w:val="32"/>
          <w:szCs w:val="32"/>
          <w:lang w:val="en-US" w:eastAsia="zh-CN" w:bidi="ar-SA"/>
        </w:rPr>
      </w:pPr>
      <w:bookmarkStart w:id="19" w:name="_Toc1149707233"/>
      <w:r>
        <w:rPr>
          <w:rFonts w:hint="eastAsia" w:ascii="仿宋_GB2312" w:hAnsi="仿宋_GB2312" w:eastAsia="仿宋_GB2312" w:cs="仿宋_GB2312"/>
          <w:b/>
          <w:bCs/>
          <w:kern w:val="2"/>
          <w:sz w:val="32"/>
          <w:szCs w:val="32"/>
          <w:lang w:val="en-US" w:eastAsia="zh-CN" w:bidi="ar-SA"/>
        </w:rPr>
        <w:t>8.发起退费</w:t>
      </w:r>
      <w:bookmarkEnd w:id="19"/>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评估机构管理员登录账号，选择服务管理-老年人能力评估-评估费用支付记录菜单。 点击“发起退费”按钮进行退费操作，退费完成后上传个人评估发票（发票抬头与老年人姓名一致）。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551430"/>
            <wp:effectExtent l="0" t="0" r="10795" b="444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pic:cNvPicPr>
                      <a:picLocks noChangeAspect="1"/>
                    </pic:cNvPicPr>
                  </pic:nvPicPr>
                  <pic:blipFill>
                    <a:blip r:embed="rId44"/>
                    <a:stretch>
                      <a:fillRect/>
                    </a:stretch>
                  </pic:blipFill>
                  <pic:spPr>
                    <a:xfrm rot="21600000">
                      <a:off x="0" y="0"/>
                      <a:ext cx="5274310" cy="25514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425065"/>
            <wp:effectExtent l="0" t="0" r="5715" b="825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picture 1822"/>
                    <pic:cNvPicPr>
                      <a:picLocks noChangeAspect="1"/>
                    </pic:cNvPicPr>
                  </pic:nvPicPr>
                  <pic:blipFill>
                    <a:blip r:embed="rId45"/>
                    <a:stretch>
                      <a:fillRect/>
                    </a:stretch>
                  </pic:blipFill>
                  <pic:spPr>
                    <a:xfrm rot="21600000">
                      <a:off x="0" y="0"/>
                      <a:ext cx="5274310" cy="24250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435860"/>
            <wp:effectExtent l="0" t="0" r="9525"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pic:cNvPicPr>
                      <a:picLocks noChangeAspect="1"/>
                    </pic:cNvPicPr>
                  </pic:nvPicPr>
                  <pic:blipFill>
                    <a:blip r:embed="rId46"/>
                    <a:stretch>
                      <a:fillRect/>
                    </a:stretch>
                  </pic:blipFill>
                  <pic:spPr>
                    <a:xfrm rot="21600000">
                      <a:off x="0" y="0"/>
                      <a:ext cx="5274310" cy="24358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348230"/>
            <wp:effectExtent l="0" t="0" r="254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pic:cNvPicPr>
                      <a:picLocks noChangeAspect="1"/>
                    </pic:cNvPicPr>
                  </pic:nvPicPr>
                  <pic:blipFill>
                    <a:blip r:embed="rId47"/>
                    <a:stretch>
                      <a:fillRect/>
                    </a:stretch>
                  </pic:blipFill>
                  <pic:spPr>
                    <a:xfrm rot="21600000">
                      <a:off x="0" y="0"/>
                      <a:ext cx="5274310" cy="2348230"/>
                    </a:xfrm>
                    <a:prstGeom prst="rect">
                      <a:avLst/>
                    </a:prstGeom>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default" w:ascii="仿宋_GB2312" w:hAnsi="仿宋_GB2312" w:eastAsia="仿宋_GB2312" w:cs="仿宋_GB2312"/>
          <w:b/>
          <w:bCs/>
          <w:kern w:val="2"/>
          <w:sz w:val="32"/>
          <w:szCs w:val="32"/>
          <w:lang w:val="en-US" w:eastAsia="zh-CN" w:bidi="ar-SA"/>
        </w:rPr>
      </w:pPr>
      <w:bookmarkStart w:id="20" w:name="_Toc742607498"/>
      <w:r>
        <w:rPr>
          <w:rFonts w:hint="eastAsia" w:ascii="仿宋_GB2312" w:hAnsi="仿宋_GB2312" w:eastAsia="仿宋_GB2312" w:cs="仿宋_GB2312"/>
          <w:b/>
          <w:bCs/>
          <w:kern w:val="2"/>
          <w:sz w:val="32"/>
          <w:szCs w:val="32"/>
          <w:lang w:val="en-US" w:eastAsia="zh-CN" w:bidi="ar-SA"/>
        </w:rPr>
        <w:t>9.</w:t>
      </w:r>
      <w:r>
        <w:rPr>
          <w:rFonts w:hint="default" w:ascii="仿宋_GB2312" w:hAnsi="仿宋_GB2312" w:eastAsia="仿宋_GB2312" w:cs="仿宋_GB2312"/>
          <w:b/>
          <w:bCs/>
          <w:kern w:val="2"/>
          <w:sz w:val="32"/>
          <w:szCs w:val="32"/>
          <w:lang w:val="en-US" w:eastAsia="zh-CN" w:bidi="ar-SA"/>
        </w:rPr>
        <w:t>垫付资金核销申请</w:t>
      </w:r>
      <w:bookmarkEnd w:id="20"/>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机构管理员登录账号，选择机构管理-垫付资金核销生成菜单。 选择核销项目-财政支持失能老年人照护服务项目，核销批次（月份）、发放渠道，点击“生成核销清单”按钮。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173980" cy="2432685"/>
            <wp:effectExtent l="0" t="0" r="7620" b="5715"/>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 name="picture 4806"/>
                    <pic:cNvPicPr>
                      <a:picLocks noChangeAspect="1"/>
                    </pic:cNvPicPr>
                  </pic:nvPicPr>
                  <pic:blipFill>
                    <a:blip r:embed="rId48"/>
                    <a:stretch>
                      <a:fillRect/>
                    </a:stretch>
                  </pic:blipFill>
                  <pic:spPr>
                    <a:xfrm rot="21600000">
                      <a:off x="0" y="0"/>
                      <a:ext cx="5173980" cy="2432685"/>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点击“详情”按钮 ，查看该批次的所有待核销记录。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4947920" cy="2856230"/>
            <wp:effectExtent l="0" t="0" r="5080" b="1270"/>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 name="picture 4820"/>
                    <pic:cNvPicPr>
                      <a:picLocks noChangeAspect="1"/>
                    </pic:cNvPicPr>
                  </pic:nvPicPr>
                  <pic:blipFill>
                    <a:blip r:embed="rId49"/>
                    <a:stretch>
                      <a:fillRect/>
                    </a:stretch>
                  </pic:blipFill>
                  <pic:spPr>
                    <a:xfrm rot="21600000">
                      <a:off x="0" y="0"/>
                      <a:ext cx="4947920" cy="28562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4940935" cy="2557780"/>
            <wp:effectExtent l="0" t="0" r="12065" b="13970"/>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 name="picture 4834"/>
                    <pic:cNvPicPr>
                      <a:picLocks noChangeAspect="1"/>
                    </pic:cNvPicPr>
                  </pic:nvPicPr>
                  <pic:blipFill>
                    <a:blip r:embed="rId50"/>
                    <a:stretch>
                      <a:fillRect/>
                    </a:stretch>
                  </pic:blipFill>
                  <pic:spPr>
                    <a:xfrm rot="21600000">
                      <a:off x="0" y="0"/>
                      <a:ext cx="4940935" cy="2557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731770"/>
            <wp:effectExtent l="0" t="0" r="5080" b="6350"/>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 name="picture 4848"/>
                    <pic:cNvPicPr>
                      <a:picLocks noChangeAspect="1"/>
                    </pic:cNvPicPr>
                  </pic:nvPicPr>
                  <pic:blipFill>
                    <a:blip r:embed="rId51"/>
                    <a:stretch>
                      <a:fillRect/>
                    </a:stretch>
                  </pic:blipFill>
                  <pic:spPr>
                    <a:xfrm rot="21600000">
                      <a:off x="0" y="0"/>
                      <a:ext cx="5274310" cy="2731770"/>
                    </a:xfrm>
                    <a:prstGeom prst="rect">
                      <a:avLst/>
                    </a:prstGeom>
                  </pic:spPr>
                </pic:pic>
              </a:graphicData>
            </a:graphic>
          </wp:inline>
        </w:drawing>
      </w:r>
    </w:p>
    <w:p>
      <w:pPr>
        <w:pStyle w:val="4"/>
        <w:pageBreakBefore w:val="0"/>
        <w:widowControl w:val="0"/>
        <w:numPr>
          <w:ilvl w:val="0"/>
          <w:numId w:val="0"/>
        </w:numPr>
        <w:tabs>
          <w:tab w:val="left" w:pos="0"/>
          <w:tab w:val="left" w:pos="312"/>
        </w:tabs>
        <w:kinsoku/>
        <w:wordWrap/>
        <w:overflowPunct/>
        <w:topLinePunct w:val="0"/>
        <w:autoSpaceDE/>
        <w:autoSpaceDN/>
        <w:bidi w:val="0"/>
        <w:snapToGrid/>
        <w:spacing w:before="0" w:line="540" w:lineRule="exact"/>
        <w:ind w:firstLine="642" w:firstLineChars="200"/>
        <w:textAlignment w:val="auto"/>
        <w:rPr>
          <w:rFonts w:hint="default" w:ascii="仿宋_GB2312" w:hAnsi="仿宋_GB2312" w:eastAsia="仿宋_GB2312" w:cs="仿宋_GB2312"/>
          <w:b/>
          <w:bCs/>
          <w:kern w:val="2"/>
          <w:sz w:val="32"/>
          <w:szCs w:val="32"/>
          <w:lang w:val="en-US" w:eastAsia="zh-CN" w:bidi="ar-SA"/>
        </w:rPr>
      </w:pPr>
      <w:bookmarkStart w:id="21" w:name="_Toc654621694"/>
      <w:r>
        <w:rPr>
          <w:rFonts w:hint="eastAsia" w:ascii="仿宋_GB2312" w:hAnsi="仿宋_GB2312" w:eastAsia="仿宋_GB2312" w:cs="仿宋_GB2312"/>
          <w:b/>
          <w:bCs/>
          <w:kern w:val="2"/>
          <w:sz w:val="32"/>
          <w:szCs w:val="32"/>
          <w:lang w:val="en-US" w:eastAsia="zh-CN" w:bidi="ar-SA"/>
        </w:rPr>
        <w:t>10.</w:t>
      </w:r>
      <w:r>
        <w:rPr>
          <w:rFonts w:hint="default" w:ascii="仿宋_GB2312" w:hAnsi="仿宋_GB2312" w:eastAsia="仿宋_GB2312" w:cs="仿宋_GB2312"/>
          <w:b/>
          <w:bCs/>
          <w:kern w:val="2"/>
          <w:sz w:val="32"/>
          <w:szCs w:val="32"/>
          <w:lang w:val="en-US" w:eastAsia="zh-CN" w:bidi="ar-SA"/>
        </w:rPr>
        <w:t>垫付资金核销生成</w:t>
      </w:r>
      <w:bookmarkEnd w:id="21"/>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选择机构管理-垫付资金核销生成菜单。点击“修改/补充”按钮，可编辑服务材料。部分评估记录在评估过程出现录音、照片、发票等信息缺失或错误，可在此环节添加说明或调整。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581910"/>
            <wp:effectExtent l="0" t="0" r="1905" b="7620"/>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 name="picture 4862"/>
                    <pic:cNvPicPr>
                      <a:picLocks noChangeAspect="1"/>
                    </pic:cNvPicPr>
                  </pic:nvPicPr>
                  <pic:blipFill>
                    <a:blip r:embed="rId52"/>
                    <a:stretch>
                      <a:fillRect/>
                    </a:stretch>
                  </pic:blipFill>
                  <pic:spPr>
                    <a:xfrm rot="21600000">
                      <a:off x="0" y="0"/>
                      <a:ext cx="5274310" cy="2581910"/>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点击“修改/补充”按钮 ，可编辑服务材料。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3073400"/>
            <wp:effectExtent l="0" t="0" r="3175" b="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pic:cNvPicPr>
                      <a:picLocks noChangeAspect="1"/>
                    </pic:cNvPicPr>
                  </pic:nvPicPr>
                  <pic:blipFill>
                    <a:blip r:embed="rId53"/>
                    <a:stretch>
                      <a:fillRect/>
                    </a:stretch>
                  </pic:blipFill>
                  <pic:spPr>
                    <a:xfrm rot="21600000">
                      <a:off x="0" y="0"/>
                      <a:ext cx="5274310" cy="3073400"/>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核销清单核实无误后 ，点击 “生成核销清单”按钮。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682240"/>
            <wp:effectExtent l="0" t="0" r="12700" b="10795"/>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 name="picture 4890"/>
                    <pic:cNvPicPr>
                      <a:picLocks noChangeAspect="1"/>
                    </pic:cNvPicPr>
                  </pic:nvPicPr>
                  <pic:blipFill>
                    <a:blip r:embed="rId54"/>
                    <a:stretch>
                      <a:fillRect/>
                    </a:stretch>
                  </pic:blipFill>
                  <pic:spPr>
                    <a:xfrm rot="21600000">
                      <a:off x="0" y="0"/>
                      <a:ext cx="5274310" cy="2682240"/>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核对无误后，点击“报销申请”按钮，确认报销申请提交后申请状态为“待审核”，若信息需撤回，可点击”撤回申请 “按钮。 民政查看列表后，申请状态更新为“审核中”。 民政审批后，将记录状态更新为“已审核”。</w:t>
      </w:r>
    </w:p>
    <w:p>
      <w:pPr>
        <w:numPr>
          <w:ilvl w:val="0"/>
          <w:numId w:val="0"/>
        </w:numPr>
        <w:ind w:leftChars="-400"/>
        <w:jc w:val="cente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503805"/>
            <wp:effectExtent l="0" t="0" r="6350" b="10795"/>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 name="picture 4904"/>
                    <pic:cNvPicPr>
                      <a:picLocks noChangeAspect="1"/>
                    </pic:cNvPicPr>
                  </pic:nvPicPr>
                  <pic:blipFill>
                    <a:blip r:embed="rId55"/>
                    <a:stretch>
                      <a:fillRect/>
                    </a:stretch>
                  </pic:blipFill>
                  <pic:spPr>
                    <a:xfrm rot="21600000">
                      <a:off x="0" y="0"/>
                      <a:ext cx="5274310" cy="2503805"/>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ind w:left="0" w:leftChars="0" w:firstLine="642" w:firstLineChars="200"/>
        <w:textAlignment w:val="auto"/>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11.核销数据整改</w:t>
      </w:r>
    </w:p>
    <w:p>
      <w:pPr>
        <w:pageBreakBefore w:val="0"/>
        <w:widowControl w:val="0"/>
        <w:kinsoku/>
        <w:wordWrap/>
        <w:overflowPunct/>
        <w:topLinePunct w:val="0"/>
        <w:autoSpaceDE/>
        <w:autoSpaceDN/>
        <w:bidi w:val="0"/>
        <w:snapToGrid/>
        <w:spacing w:line="54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针对民政审核不通过的数据，点击“编辑”按钮，对需整改的数据进行修改/补充后，重新提交报销批次。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2586990"/>
            <wp:effectExtent l="0" t="0" r="12700" b="9525"/>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picture 4932"/>
                    <pic:cNvPicPr>
                      <a:picLocks noChangeAspect="1"/>
                    </pic:cNvPicPr>
                  </pic:nvPicPr>
                  <pic:blipFill>
                    <a:blip r:embed="rId56"/>
                    <a:stretch>
                      <a:fillRect/>
                    </a:stretch>
                  </pic:blipFill>
                  <pic:spPr>
                    <a:xfrm rot="21600000">
                      <a:off x="0" y="0"/>
                      <a:ext cx="5274310" cy="25869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pPr>
      <w:r>
        <w:drawing>
          <wp:inline distT="0" distB="0" distL="114300" distR="114300">
            <wp:extent cx="5274310" cy="1983740"/>
            <wp:effectExtent l="0" t="0" r="13970" b="1270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pic:cNvPicPr>
                      <a:picLocks noChangeAspect="1"/>
                    </pic:cNvPicPr>
                  </pic:nvPicPr>
                  <pic:blipFill>
                    <a:blip r:embed="rId57"/>
                    <a:stretch>
                      <a:fillRect/>
                    </a:stretch>
                  </pic:blipFill>
                  <pic:spPr>
                    <a:xfrm rot="21600000">
                      <a:off x="0" y="0"/>
                      <a:ext cx="5274310" cy="1983740"/>
                    </a:xfrm>
                    <a:prstGeom prst="rect">
                      <a:avLst/>
                    </a:prstGeom>
                  </pic:spPr>
                </pic:pic>
              </a:graphicData>
            </a:graphic>
          </wp:inline>
        </w:drawing>
      </w:r>
    </w:p>
    <w:p>
      <w:pPr>
        <w:pStyle w:val="3"/>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40" w:lineRule="exact"/>
        <w:ind w:leftChars="0" w:firstLine="640" w:firstLineChars="200"/>
        <w:jc w:val="center"/>
        <w:textAlignment w:val="auto"/>
        <w:rPr>
          <w:rFonts w:hint="eastAsia" w:ascii="黑体" w:hAnsi="黑体" w:cs="黑体"/>
          <w:sz w:val="32"/>
          <w:lang w:eastAsia="zh-CN"/>
        </w:rPr>
      </w:pPr>
      <w:r>
        <w:rPr>
          <w:rFonts w:hint="eastAsia" w:ascii="黑体" w:hAnsi="黑体" w:cs="黑体"/>
          <w:sz w:val="32"/>
          <w:lang w:eastAsia="zh-CN"/>
        </w:rPr>
        <w:t>三、其他说明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由于在我市公办轮候、适老化改造等业务中开展的老年人能力评估与民政部向中度以上失能老年人发放养老服务消费补贴项目（下称“消费补贴项目”）所开展的老年人能力评估在标准上是一致的，互相可以适用。为避免老年人重复开展能力评估，建议评估机构先在民政通的消费补贴项目中为老年人进行评估，并向民政部门申请补贴，同时在</w:t>
      </w:r>
      <w:r>
        <w:rPr>
          <w:rFonts w:hint="eastAsia" w:ascii="仿宋_GB2312" w:hAnsi="仿宋_GB2312" w:eastAsia="仿宋_GB2312" w:cs="仿宋_GB2312"/>
          <w:b/>
          <w:bCs/>
          <w:sz w:val="32"/>
          <w:szCs w:val="32"/>
          <w:lang w:eastAsia="zh-CN"/>
        </w:rPr>
        <w:t>深圳养老服务平台</w:t>
      </w:r>
      <w:r>
        <w:rPr>
          <w:rFonts w:hint="eastAsia" w:ascii="仿宋_GB2312" w:hAnsi="仿宋_GB2312" w:eastAsia="仿宋_GB2312" w:cs="仿宋_GB2312"/>
          <w:sz w:val="32"/>
          <w:szCs w:val="32"/>
          <w:lang w:eastAsia="zh-CN"/>
        </w:rPr>
        <w:t>为老年人补录有关评估信息，实现“一评两用”。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关于在</w:t>
      </w:r>
      <w:r>
        <w:rPr>
          <w:rFonts w:hint="eastAsia" w:ascii="仿宋_GB2312" w:hAnsi="仿宋_GB2312" w:eastAsia="仿宋_GB2312" w:cs="仿宋_GB2312"/>
          <w:b/>
          <w:bCs/>
          <w:i w:val="0"/>
          <w:iCs w:val="0"/>
          <w:sz w:val="32"/>
          <w:szCs w:val="32"/>
          <w:lang w:eastAsia="zh-CN"/>
        </w:rPr>
        <w:t>深圳养老服务平台</w:t>
      </w:r>
      <w:r>
        <w:rPr>
          <w:rFonts w:hint="eastAsia" w:ascii="仿宋_GB2312" w:hAnsi="仿宋_GB2312" w:eastAsia="仿宋_GB2312" w:cs="仿宋_GB2312"/>
          <w:b w:val="0"/>
          <w:bCs w:val="0"/>
          <w:sz w:val="32"/>
          <w:szCs w:val="32"/>
          <w:lang w:eastAsia="zh-CN"/>
        </w:rPr>
        <w:t>补录的操作指引详见《深圳养老服务平台老年人能力评估信息补录操作手册》。</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 w:name="Wingdings 3">
    <w:panose1 w:val="050401020108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sz w:val="24"/>
                              <w:szCs w:val="40"/>
                            </w:rPr>
                          </w:pPr>
                          <w:r>
                            <w:rPr>
                              <w:sz w:val="24"/>
                              <w:szCs w:val="40"/>
                            </w:rPr>
                            <w:t xml:space="preserve">— </w:t>
                          </w: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r>
                            <w:rPr>
                              <w:sz w:val="24"/>
                              <w:szCs w:val="4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">
              <v:fill on="f" focussize="0,0"/>
              <v:stroke on="f" weight="0.5pt"/>
              <v:imagedata o:title=""/>
              <o:lock v:ext="edit" aspectratio="f"/>
              <v:textbox inset="0mm,0mm,0mm,0mm" style="mso-fit-shape-to-text:t;">
                <w:txbxContent>
                  <w:p>
                    <w:pPr>
                      <w:pStyle w:val="13"/>
                      <w:rPr>
                        <w:sz w:val="24"/>
                        <w:szCs w:val="40"/>
                      </w:rPr>
                    </w:pPr>
                    <w:r>
                      <w:rPr>
                        <w:sz w:val="24"/>
                        <w:szCs w:val="40"/>
                      </w:rPr>
                      <w:t xml:space="preserve">— </w:t>
                    </w: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r>
                      <w:rPr>
                        <w:sz w:val="24"/>
                        <w:szCs w:val="4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273DD3"/>
    <w:rsid w:val="05BA32E6"/>
    <w:rsid w:val="08295FBC"/>
    <w:rsid w:val="1E7E29CB"/>
    <w:rsid w:val="21273DD3"/>
    <w:rsid w:val="2A2522FA"/>
    <w:rsid w:val="2ADF998E"/>
    <w:rsid w:val="3D3D08E6"/>
    <w:rsid w:val="3E662E7E"/>
    <w:rsid w:val="5FBCB267"/>
    <w:rsid w:val="66FFE089"/>
    <w:rsid w:val="75FE36A1"/>
    <w:rsid w:val="765B27BA"/>
    <w:rsid w:val="77CD2C13"/>
    <w:rsid w:val="79092423"/>
    <w:rsid w:val="79F805C1"/>
    <w:rsid w:val="7DF792DA"/>
    <w:rsid w:val="7FD7FEEB"/>
    <w:rsid w:val="7FFE183F"/>
    <w:rsid w:val="A7FFEE33"/>
    <w:rsid w:val="B9F1BDFB"/>
    <w:rsid w:val="CBBF6AE0"/>
    <w:rsid w:val="CF9953BF"/>
    <w:rsid w:val="D6EF7FAA"/>
    <w:rsid w:val="F35E5929"/>
    <w:rsid w:val="F6FF3430"/>
    <w:rsid w:val="F9FA1B51"/>
    <w:rsid w:val="FC9F10BF"/>
    <w:rsid w:val="FDFAB5BD"/>
    <w:rsid w:val="FEFCDD6E"/>
    <w:rsid w:val="FF738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pPr>
    <w:rPr>
      <w:rFonts w:ascii="黑体" w:hAnsi="黑体" w:eastAsia="宋体" w:cstheme="minorBidi"/>
      <w:kern w:val="2"/>
      <w:sz w:val="28"/>
      <w:szCs w:val="24"/>
      <w:lang w:val="en-US" w:eastAsia="zh-CN" w:bidi="ar-SA"/>
    </w:rPr>
  </w:style>
  <w:style w:type="paragraph" w:styleId="2">
    <w:name w:val="heading 1"/>
    <w:basedOn w:val="1"/>
    <w:next w:val="1"/>
    <w:qFormat/>
    <w:uiPriority w:val="9"/>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basedOn w:val="2"/>
    <w:next w:val="1"/>
    <w:unhideWhenUsed/>
    <w:qFormat/>
    <w:uiPriority w:val="9"/>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unhideWhenUsed/>
    <w:qFormat/>
    <w:uiPriority w:val="9"/>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semiHidden/>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6">
    <w:name w:val="toc 2"/>
    <w:basedOn w:val="1"/>
    <w:next w:val="1"/>
    <w:qFormat/>
    <w:uiPriority w:val="0"/>
    <w:pPr>
      <w:ind w:left="420" w:leftChars="200"/>
    </w:pPr>
  </w:style>
  <w:style w:type="paragraph" w:styleId="17">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character" w:styleId="20">
    <w:name w:val="Hyperlink"/>
    <w:basedOn w:val="19"/>
    <w:qFormat/>
    <w:uiPriority w:val="0"/>
    <w:rPr>
      <w:color w:val="0000FF"/>
      <w:u w:val="single"/>
    </w:rPr>
  </w:style>
  <w:style w:type="paragraph" w:customStyle="1" w:styleId="21">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3382</Words>
  <Characters>3598</Characters>
  <Lines>0</Lines>
  <Paragraphs>0</Paragraphs>
  <TotalTime>1</TotalTime>
  <ScaleCrop>false</ScaleCrop>
  <LinksUpToDate>false</LinksUpToDate>
  <CharactersWithSpaces>3648</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2025-12-30T15:22:00Z</dcterms:created>
  <dc:creator>作者</dc:creator>
  <cp:lastModifiedBy>鄭錦婷</cp:lastModifiedBy>
  <dcterms:modified xsi:type="dcterms:W3CDTF">2026-02-24T16:25:04Z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C86A469B6E6D1F8060609D694DE0C959</vt:lpwstr>
  </property>
  <property fmtid="{D5CDD505-2E9C-101B-9397-08002B2CF9AE}" pid="4" name="KSOTemplateDocerSaveRecord">
    <vt:lpwstr>eyJoZGlkIjoiZDQ0YzBlYjA4OGNjODU5M2QwNGMyZjMxZmFmOGM5ODQiLCJ1c2VySWQiOiIxNzY2MTExMDIyIn0=</vt:lpwstr>
  </property>
</Properties>
</file>